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国标小标宋-GB/T 2312" w:cs="Times New Roman"/>
          <w:i w:val="0"/>
          <w:iCs w:val="0"/>
          <w:caps w:val="0"/>
          <w:color w:val="000000"/>
          <w:spacing w:val="0"/>
          <w:sz w:val="44"/>
          <w:szCs w:val="44"/>
          <w:shd w:val="clear" w:fill="FFFFFF"/>
        </w:rPr>
      </w:pPr>
      <w:r>
        <w:rPr>
          <w:rFonts w:hint="default" w:ascii="Times New Roman" w:hAnsi="Times New Roman" w:eastAsia="国标小标宋-GB/T 2312" w:cs="Times New Roman"/>
          <w:i w:val="0"/>
          <w:iCs w:val="0"/>
          <w:caps w:val="0"/>
          <w:color w:val="000000"/>
          <w:spacing w:val="0"/>
          <w:sz w:val="44"/>
          <w:szCs w:val="44"/>
          <w:shd w:val="clear" w:fill="FFFFFF"/>
        </w:rPr>
        <w:t>《传染病信息报告管理规范（2026年版）》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国标小标宋-GB/T 2312" w:cs="Times New Roman"/>
          <w:i w:val="0"/>
          <w:iCs w:val="0"/>
          <w:caps w:val="0"/>
          <w:color w:val="000000"/>
          <w:spacing w:val="0"/>
          <w:sz w:val="44"/>
          <w:szCs w:val="44"/>
          <w:shd w:val="clear" w:fill="FFFFFF"/>
        </w:rPr>
      </w:pPr>
      <w:r>
        <w:rPr>
          <w:rFonts w:hint="default" w:ascii="Times New Roman" w:hAnsi="Times New Roman" w:eastAsia="国标小标宋-GB/T 2312" w:cs="Times New Roman"/>
          <w:i w:val="0"/>
          <w:iCs w:val="0"/>
          <w:caps w:val="0"/>
          <w:color w:val="000000"/>
          <w:spacing w:val="0"/>
          <w:sz w:val="44"/>
          <w:szCs w:val="44"/>
          <w:shd w:val="clear" w:fill="FFFFFF"/>
        </w:rPr>
        <w:t>政策解读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国标黑体" w:cs="Times New Roman"/>
          <w:i w:val="0"/>
          <w:iCs w:val="0"/>
          <w:caps w:val="0"/>
          <w:color w:val="000000"/>
          <w:spacing w:val="0"/>
          <w:sz w:val="32"/>
          <w:szCs w:val="32"/>
          <w:shd w:val="clear" w:fill="FFFFFF"/>
        </w:rPr>
      </w:pPr>
      <w:r>
        <w:rPr>
          <w:rFonts w:hint="default" w:ascii="Times New Roman" w:hAnsi="Times New Roman" w:eastAsia="国标黑体" w:cs="Times New Roman"/>
          <w:i w:val="0"/>
          <w:iCs w:val="0"/>
          <w:caps w:val="0"/>
          <w:color w:val="000000"/>
          <w:spacing w:val="0"/>
          <w:sz w:val="32"/>
          <w:szCs w:val="32"/>
          <w:shd w:val="clear" w:fill="FFFFFF"/>
        </w:rPr>
        <w:t>一、修订背景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rPr>
        <w:t>传染病信息报告是传染病监测预警的重要环节。《传染病信息报告管理规范（2015年版）》实施以来，对加强信息报告管理、提升各级各类医疗卫生机构报告质量发挥了重要作用。随着传染病防控形势的变化，对信息报告工作提出了新的更高要求。国家疾控局认真贯彻落实</w:t>
      </w:r>
      <w:bookmarkStart w:id="0" w:name="_GoBack"/>
      <w:bookmarkEnd w:id="0"/>
      <w:r>
        <w:rPr>
          <w:rFonts w:hint="default" w:ascii="Times New Roman" w:hAnsi="Times New Roman" w:eastAsia="仿宋_GB2312" w:cs="Times New Roman"/>
          <w:i w:val="0"/>
          <w:iCs w:val="0"/>
          <w:caps w:val="0"/>
          <w:color w:val="000000"/>
          <w:spacing w:val="0"/>
          <w:sz w:val="32"/>
          <w:szCs w:val="32"/>
          <w:shd w:val="clear" w:fill="FFFFFF"/>
        </w:rPr>
        <w:t>党中央、国务院的决策部署，根据新修订的传染病防治法和智慧化多点触发传染病监测预警体系建设指导意见的有关要求，组织修订并印发了《传染病信息报告管理规范（2026年版）》（以下简称《管理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国标黑体" w:cs="Times New Roman"/>
          <w:b w:val="0"/>
          <w:bCs w:val="0"/>
          <w:i w:val="0"/>
          <w:iCs w:val="0"/>
          <w:caps w:val="0"/>
          <w:color w:val="000000"/>
          <w:spacing w:val="0"/>
          <w:sz w:val="32"/>
          <w:szCs w:val="32"/>
          <w:shd w:val="clear" w:fill="FFFFFF"/>
        </w:rPr>
      </w:pPr>
      <w:r>
        <w:rPr>
          <w:rFonts w:hint="default" w:ascii="Times New Roman" w:hAnsi="Times New Roman" w:eastAsia="国标黑体" w:cs="Times New Roman"/>
          <w:b w:val="0"/>
          <w:bCs w:val="0"/>
          <w:i w:val="0"/>
          <w:iCs w:val="0"/>
          <w:caps w:val="0"/>
          <w:color w:val="000000"/>
          <w:spacing w:val="0"/>
          <w:sz w:val="32"/>
          <w:szCs w:val="32"/>
          <w:shd w:val="clear" w:fill="FFFFFF"/>
        </w:rPr>
        <w:t>二、修订的主要思路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rPr>
        <w:t>《管理规范》修订主要把握以下五点：一是坚持以习近平总书记关于传染病监测预警的重要指示批示精神为指导，认真贯彻党中央、国务院的决策部署，加强疫情报告的制度建设。二是坚持依法报告，依法防控，严格与传染病防治法等法律法规和指导意见要求相一致，加强信息报告的规范管理。三是坚持问题导向，认真总结新冠疫情防控的经验做法，补足弱项和短板，推进主动监测和及时报告。四是坚持技术创新，推进信息化和智慧化建设，提升传染病信息报告的质效。五是坚持统筹兼顾，将传染病疫情报告与传染病监测、风险评估、预警管理、信息公布等制度相衔接，形成传染病防控合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国标黑体" w:cs="Times New Roman"/>
          <w:b w:val="0"/>
          <w:bCs w:val="0"/>
          <w:i w:val="0"/>
          <w:iCs w:val="0"/>
          <w:caps w:val="0"/>
          <w:color w:val="000000"/>
          <w:spacing w:val="0"/>
          <w:sz w:val="32"/>
          <w:szCs w:val="32"/>
          <w:shd w:val="clear" w:fill="FFFFFF"/>
        </w:rPr>
      </w:pPr>
      <w:r>
        <w:rPr>
          <w:rFonts w:hint="default" w:ascii="Times New Roman" w:hAnsi="Times New Roman" w:eastAsia="国标黑体" w:cs="Times New Roman"/>
          <w:b/>
          <w:bCs/>
          <w:i w:val="0"/>
          <w:iCs w:val="0"/>
          <w:caps w:val="0"/>
          <w:color w:val="000000"/>
          <w:spacing w:val="0"/>
          <w:sz w:val="32"/>
          <w:szCs w:val="32"/>
          <w:shd w:val="clear" w:fill="FFFFFF"/>
        </w:rPr>
        <w:t>三、修订的主要内容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rPr>
        <w:t>《管理规范》在保持总体框架基本稳定的前提下，主要修订四个方面内容：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国标楷体-GB/T 2312" w:cs="Times New Roman"/>
          <w:i w:val="0"/>
          <w:iCs w:val="0"/>
          <w:caps w:val="0"/>
          <w:color w:val="000000"/>
          <w:spacing w:val="0"/>
          <w:sz w:val="32"/>
          <w:szCs w:val="32"/>
          <w:shd w:val="clear" w:fill="FFFFFF"/>
        </w:rPr>
        <w:t>（一）完善机构职责，依法履行报告责任。</w:t>
      </w:r>
      <w:r>
        <w:rPr>
          <w:rFonts w:hint="default" w:ascii="Times New Roman" w:hAnsi="Times New Roman" w:eastAsia="仿宋_GB2312" w:cs="Times New Roman"/>
          <w:i w:val="0"/>
          <w:iCs w:val="0"/>
          <w:caps w:val="0"/>
          <w:color w:val="000000"/>
          <w:spacing w:val="0"/>
          <w:sz w:val="32"/>
          <w:szCs w:val="32"/>
          <w:shd w:val="clear" w:fill="FFFFFF"/>
        </w:rPr>
        <w:t>明确了机构职责和任务，遵循分级负责、属地管理原则，推动疾控业务与监督同向发力。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国标楷体-GB/T 2312" w:cs="Times New Roman"/>
          <w:i w:val="0"/>
          <w:iCs w:val="0"/>
          <w:caps w:val="0"/>
          <w:color w:val="000000"/>
          <w:spacing w:val="0"/>
          <w:sz w:val="32"/>
          <w:szCs w:val="32"/>
          <w:shd w:val="clear" w:fill="FFFFFF"/>
        </w:rPr>
        <w:t>（二）动态调整分类，适应防控新需求。</w:t>
      </w:r>
      <w:r>
        <w:rPr>
          <w:rFonts w:hint="default" w:ascii="Times New Roman" w:hAnsi="Times New Roman" w:eastAsia="仿宋_GB2312" w:cs="Times New Roman"/>
          <w:i w:val="0"/>
          <w:iCs w:val="0"/>
          <w:caps w:val="0"/>
          <w:color w:val="000000"/>
          <w:spacing w:val="0"/>
          <w:sz w:val="32"/>
          <w:szCs w:val="32"/>
          <w:shd w:val="clear" w:fill="FFFFFF"/>
        </w:rPr>
        <w:t>调整传染病报告的情形，进一步强化了新发传染病、突发原因不明传染病、需重点监测的其他传染病等信息报告要求。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国标楷体-GB/T 2312" w:cs="Times New Roman"/>
          <w:i w:val="0"/>
          <w:iCs w:val="0"/>
          <w:caps w:val="0"/>
          <w:color w:val="000000"/>
          <w:spacing w:val="0"/>
          <w:sz w:val="32"/>
          <w:szCs w:val="32"/>
          <w:shd w:val="clear" w:fill="FFFFFF"/>
        </w:rPr>
        <w:t>（三）强化医防协同，夯实信息报告工作。</w:t>
      </w:r>
      <w:r>
        <w:rPr>
          <w:rFonts w:hint="default" w:ascii="Times New Roman" w:hAnsi="Times New Roman" w:eastAsia="仿宋_GB2312" w:cs="Times New Roman"/>
          <w:i w:val="0"/>
          <w:iCs w:val="0"/>
          <w:caps w:val="0"/>
          <w:color w:val="000000"/>
          <w:spacing w:val="0"/>
          <w:sz w:val="32"/>
          <w:szCs w:val="32"/>
          <w:shd w:val="clear" w:fill="FFFFFF"/>
        </w:rPr>
        <w:t>明确医疗机构执行首诊负责制，加强医防协同、医防融合，健全工作制度；疾控机构加强指导，提升基层诊断报告能力。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国标仿宋-GB/T 2312" w:cs="Times New Roman"/>
          <w:i w:val="0"/>
          <w:iCs w:val="0"/>
          <w:caps w:val="0"/>
          <w:color w:val="000000"/>
          <w:spacing w:val="0"/>
          <w:sz w:val="32"/>
          <w:szCs w:val="32"/>
          <w:shd w:val="clear" w:fill="FFFFFF"/>
        </w:rPr>
      </w:pPr>
      <w:r>
        <w:rPr>
          <w:rFonts w:hint="default" w:ascii="Times New Roman" w:hAnsi="Times New Roman" w:eastAsia="国标楷体-GB/T 2312" w:cs="Times New Roman"/>
          <w:i w:val="0"/>
          <w:iCs w:val="0"/>
          <w:caps w:val="0"/>
          <w:color w:val="000000"/>
          <w:spacing w:val="0"/>
          <w:sz w:val="32"/>
          <w:szCs w:val="32"/>
          <w:shd w:val="clear" w:fill="FFFFFF"/>
        </w:rPr>
        <w:t>（四）加大信息化建设力度，提升智慧化水平。</w:t>
      </w:r>
      <w:r>
        <w:rPr>
          <w:rFonts w:hint="default" w:ascii="Times New Roman" w:hAnsi="Times New Roman" w:eastAsia="国标仿宋-GB/T 2312" w:cs="Times New Roman"/>
          <w:i w:val="0"/>
          <w:iCs w:val="0"/>
          <w:caps w:val="0"/>
          <w:color w:val="000000"/>
          <w:spacing w:val="0"/>
          <w:sz w:val="32"/>
          <w:szCs w:val="32"/>
          <w:shd w:val="clear" w:fill="FFFFFF"/>
        </w:rPr>
        <w:t>推进医疗机构传染病监测预警前置软件部署应用，利用大数据、人工智能等新技术，提高传染病数据分析利用水平。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国标黑体" w:cs="Times New Roman"/>
          <w:i w:val="0"/>
          <w:iCs w:val="0"/>
          <w:caps w:val="0"/>
          <w:color w:val="000000"/>
          <w:spacing w:val="0"/>
          <w:sz w:val="32"/>
          <w:szCs w:val="32"/>
          <w:shd w:val="clear" w:fill="FFFFFF"/>
        </w:rPr>
      </w:pPr>
      <w:r>
        <w:rPr>
          <w:rFonts w:hint="default" w:ascii="Times New Roman" w:hAnsi="Times New Roman" w:eastAsia="国标黑体" w:cs="Times New Roman"/>
          <w:i w:val="0"/>
          <w:iCs w:val="0"/>
          <w:caps w:val="0"/>
          <w:color w:val="000000"/>
          <w:spacing w:val="0"/>
          <w:sz w:val="32"/>
          <w:szCs w:val="32"/>
          <w:shd w:val="clear" w:fill="FFFFFF"/>
        </w:rPr>
        <w:t>四、贯彻落实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rPr>
        <w:t>国家疾控局将加强组织实施和宣传解读，认真推动《管理规范》各项措施落实，进一步加强全国传染病信息报告管理工作，全面提升传染病疫情报告质效，有效预防控制传染病。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国标仿宋-GB/T 2312" w:cs="Times New Roman"/>
          <w:i w:val="0"/>
          <w:iCs w:val="0"/>
          <w:caps w:val="0"/>
          <w:color w:val="000000"/>
          <w:spacing w:val="0"/>
          <w:sz w:val="32"/>
          <w:szCs w:val="32"/>
          <w:shd w:val="clear" w:fill="FFFFFF"/>
          <w:lang w:eastAsia="zh-CN"/>
        </w:rPr>
      </w:pPr>
    </w:p>
    <w:sectPr>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国标小标宋-GB/T 2312">
    <w:panose1 w:val="020005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国标楷体-GB/T 2312">
    <w:panose1 w:val="02000500000000000000"/>
    <w:charset w:val="86"/>
    <w:family w:val="auto"/>
    <w:pitch w:val="default"/>
    <w:sig w:usb0="00000001" w:usb1="08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准圆简体">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75"/>
    <w:rsid w:val="00187AD9"/>
    <w:rsid w:val="001D5A4F"/>
    <w:rsid w:val="003A1D75"/>
    <w:rsid w:val="00B7607E"/>
    <w:rsid w:val="04ED1177"/>
    <w:rsid w:val="079E7039"/>
    <w:rsid w:val="0AFE4197"/>
    <w:rsid w:val="0CB5313E"/>
    <w:rsid w:val="116F2773"/>
    <w:rsid w:val="15E017D5"/>
    <w:rsid w:val="19324E46"/>
    <w:rsid w:val="1B78513F"/>
    <w:rsid w:val="21D26F9D"/>
    <w:rsid w:val="24343F97"/>
    <w:rsid w:val="244F3BAE"/>
    <w:rsid w:val="2AA94A6F"/>
    <w:rsid w:val="2E693ECA"/>
    <w:rsid w:val="366652B8"/>
    <w:rsid w:val="38EB5CFD"/>
    <w:rsid w:val="3DD57677"/>
    <w:rsid w:val="3E5312A8"/>
    <w:rsid w:val="410B6830"/>
    <w:rsid w:val="429A2847"/>
    <w:rsid w:val="49DF287D"/>
    <w:rsid w:val="4A895BCC"/>
    <w:rsid w:val="4ACE62F1"/>
    <w:rsid w:val="4DC05525"/>
    <w:rsid w:val="5023416F"/>
    <w:rsid w:val="51784D51"/>
    <w:rsid w:val="541F7FB4"/>
    <w:rsid w:val="55BE2E5B"/>
    <w:rsid w:val="57961A49"/>
    <w:rsid w:val="57EE8AF7"/>
    <w:rsid w:val="5A4802C7"/>
    <w:rsid w:val="65E63905"/>
    <w:rsid w:val="66EF7087"/>
    <w:rsid w:val="6C4D469D"/>
    <w:rsid w:val="6CFE27E9"/>
    <w:rsid w:val="730B2E93"/>
    <w:rsid w:val="758872DB"/>
    <w:rsid w:val="765627E6"/>
    <w:rsid w:val="79A017CB"/>
    <w:rsid w:val="7B72494D"/>
    <w:rsid w:val="7D2D04E3"/>
    <w:rsid w:val="7DB7E51E"/>
    <w:rsid w:val="7E312C8F"/>
    <w:rsid w:val="7FD406BE"/>
    <w:rsid w:val="FEFF52EE"/>
    <w:rsid w:val="FFF93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2">
    <w:name w:val="Body Text Indent"/>
    <w:basedOn w:val="1"/>
    <w:next w:val="1"/>
    <w:qFormat/>
    <w:uiPriority w:val="0"/>
    <w:pPr>
      <w:spacing w:after="120"/>
      <w:ind w:left="420" w:leftChars="200"/>
    </w:pPr>
    <w:rPr>
      <w:kern w:val="0"/>
      <w:sz w:val="20"/>
      <w:szCs w:val="20"/>
    </w:rPr>
  </w:style>
  <w:style w:type="paragraph" w:styleId="13">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7">
    <w:name w:val="Strong"/>
    <w:basedOn w:val="16"/>
    <w:qFormat/>
    <w:uiPriority w:val="22"/>
    <w:rPr>
      <w:b/>
    </w:rPr>
  </w:style>
  <w:style w:type="character" w:styleId="18">
    <w:name w:val="Emphasis"/>
    <w:basedOn w:val="16"/>
    <w:qFormat/>
    <w:uiPriority w:val="20"/>
    <w:rPr>
      <w:i/>
    </w:rPr>
  </w:style>
  <w:style w:type="character" w:styleId="19">
    <w:name w:val="Hyperlink"/>
    <w:basedOn w:val="16"/>
    <w:semiHidden/>
    <w:unhideWhenUsed/>
    <w:qFormat/>
    <w:uiPriority w:val="99"/>
    <w:rPr>
      <w:color w:val="0000FF"/>
      <w:u w:val="single"/>
    </w:rPr>
  </w:style>
  <w:style w:type="character" w:styleId="20">
    <w:name w:val="annotation reference"/>
    <w:unhideWhenUsed/>
    <w:qFormat/>
    <w:uiPriority w:val="99"/>
    <w:rPr>
      <w:sz w:val="21"/>
      <w:szCs w:val="21"/>
    </w:rPr>
  </w:style>
  <w:style w:type="character" w:customStyle="1" w:styleId="21">
    <w:name w:val="标题 1 字符"/>
    <w:basedOn w:val="16"/>
    <w:link w:val="3"/>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6"/>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6"/>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6"/>
    <w:link w:val="6"/>
    <w:semiHidden/>
    <w:qFormat/>
    <w:uiPriority w:val="9"/>
    <w:rPr>
      <w:rFonts w:cstheme="majorBidi"/>
      <w:color w:val="104862" w:themeColor="accent1" w:themeShade="BF"/>
      <w:sz w:val="28"/>
      <w:szCs w:val="28"/>
    </w:rPr>
  </w:style>
  <w:style w:type="character" w:customStyle="1" w:styleId="25">
    <w:name w:val="标题 5 字符"/>
    <w:basedOn w:val="16"/>
    <w:link w:val="7"/>
    <w:semiHidden/>
    <w:qFormat/>
    <w:uiPriority w:val="9"/>
    <w:rPr>
      <w:rFonts w:cstheme="majorBidi"/>
      <w:color w:val="104862" w:themeColor="accent1" w:themeShade="BF"/>
      <w:sz w:val="24"/>
      <w:szCs w:val="24"/>
    </w:rPr>
  </w:style>
  <w:style w:type="character" w:customStyle="1" w:styleId="26">
    <w:name w:val="标题 6 字符"/>
    <w:basedOn w:val="16"/>
    <w:link w:val="8"/>
    <w:semiHidden/>
    <w:qFormat/>
    <w:uiPriority w:val="9"/>
    <w:rPr>
      <w:rFonts w:cstheme="majorBidi"/>
      <w:b/>
      <w:bCs/>
      <w:color w:val="104862" w:themeColor="accent1" w:themeShade="BF"/>
    </w:rPr>
  </w:style>
  <w:style w:type="character" w:customStyle="1" w:styleId="27">
    <w:name w:val="标题 7 字符"/>
    <w:basedOn w:val="1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6"/>
    <w:link w:val="2"/>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6"/>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6"/>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6"/>
    <w:link w:val="36"/>
    <w:qFormat/>
    <w:uiPriority w:val="30"/>
    <w:rPr>
      <w:i/>
      <w:iCs/>
      <w:color w:val="104862" w:themeColor="accent1" w:themeShade="BF"/>
    </w:rPr>
  </w:style>
  <w:style w:type="character" w:customStyle="1" w:styleId="38">
    <w:name w:val="Intense Reference"/>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5388</Words>
  <Characters>5546</Characters>
  <Lines>1</Lines>
  <Paragraphs>1</Paragraphs>
  <TotalTime>266</TotalTime>
  <ScaleCrop>false</ScaleCrop>
  <LinksUpToDate>false</LinksUpToDate>
  <CharactersWithSpaces>5918</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2026-01-19T22:29:00Z</dcterms:created>
  <dc:creator>努尔江 巴合提别克</dc:creator>
  <cp:lastModifiedBy>jkj</cp:lastModifiedBy>
  <cp:lastPrinted>2026-02-27T18:19:00Z</cp:lastPrinted>
  <dcterms:modified xsi:type="dcterms:W3CDTF">2026-05-20T13:16:17Z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eyJoZGlkIjoiZjliNjg1YWM1N2U4OWViMTM0MGVmODYyNzViMTAxNWIifQ==</vt:lpwstr>
  </property>
  <property fmtid="{D5CDD505-2E9C-101B-9397-08002B2CF9AE}" pid="3" name="KSOProductBuildVer">
    <vt:lpwstr>2052-11.8.2.12219</vt:lpwstr>
  </property>
  <property fmtid="{D5CDD505-2E9C-101B-9397-08002B2CF9AE}" pid="4" name="ICV">
    <vt:lpwstr>093E28E05E394FEAA1800CECD70687B9_13</vt:lpwstr>
  </property>
</Properties>
</file>