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utoSpaceDE w:val="0"/>
        <w:autoSpaceDN w:val="0"/>
        <w:spacing w:line="560" w:lineRule="exact"/>
        <w:rPr>
          <w:rFonts w:hint="default" w:ascii="Times New Roman" w:hAnsi="Times New Roman" w:eastAsia="黑体" w:cs="Times New Roman"/>
          <w:w w:val="85"/>
          <w:kern w:val="0"/>
          <w:sz w:val="32"/>
          <w:szCs w:val="32"/>
          <w:lang w:bidi="ar"/>
        </w:rPr>
      </w:pPr>
      <w:r>
        <w:rPr>
          <w:rFonts w:hint="default" w:ascii="Times New Roman" w:hAnsi="Times New Roman" w:eastAsia="黑体" w:cs="Times New Roman"/>
          <w:w w:val="85"/>
          <w:kern w:val="0"/>
          <w:sz w:val="32"/>
          <w:szCs w:val="32"/>
          <w:lang w:bidi="ar"/>
        </w:rPr>
        <w:t>附</w:t>
      </w:r>
      <w:r>
        <w:rPr>
          <w:rFonts w:hint="default" w:ascii="Times New Roman" w:hAnsi="Times New Roman" w:eastAsia="黑体" w:cs="Times New Roman"/>
          <w:w w:val="85"/>
          <w:kern w:val="0"/>
          <w:sz w:val="32"/>
          <w:szCs w:val="32"/>
          <w:lang w:eastAsia="zh-CN" w:bidi="ar"/>
        </w:rPr>
        <w:t>表</w:t>
      </w:r>
      <w:r>
        <w:rPr>
          <w:rFonts w:hint="default" w:ascii="Times New Roman" w:hAnsi="Times New Roman" w:eastAsia="黑体" w:cs="Times New Roman"/>
          <w:w w:val="85"/>
          <w:kern w:val="0"/>
          <w:sz w:val="32"/>
          <w:szCs w:val="32"/>
          <w:lang w:val="en-US" w:eastAsia="zh-CN" w:bidi="ar"/>
        </w:rPr>
        <w:t>1</w:t>
      </w:r>
    </w:p>
    <w:p>
      <w:pPr>
        <w:pStyle w:val="3"/>
        <w:autoSpaceDE w:val="0"/>
        <w:autoSpaceDN w:val="0"/>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包虫病防治目标推进表</w:t>
      </w:r>
    </w:p>
    <w:tbl>
      <w:tblPr>
        <w:tblStyle w:val="4"/>
        <w:tblW w:w="14051" w:type="dxa"/>
        <w:jc w:val="center"/>
        <w:tblLayout w:type="fixed"/>
        <w:tblCellMar>
          <w:top w:w="0" w:type="dxa"/>
          <w:left w:w="0" w:type="dxa"/>
          <w:bottom w:w="0" w:type="dxa"/>
          <w:right w:w="0" w:type="dxa"/>
        </w:tblCellMar>
      </w:tblPr>
      <w:tblGrid>
        <w:gridCol w:w="2401"/>
        <w:gridCol w:w="768"/>
        <w:gridCol w:w="748"/>
        <w:gridCol w:w="674"/>
        <w:gridCol w:w="676"/>
        <w:gridCol w:w="678"/>
        <w:gridCol w:w="674"/>
        <w:gridCol w:w="675"/>
        <w:gridCol w:w="675"/>
        <w:gridCol w:w="677"/>
        <w:gridCol w:w="674"/>
        <w:gridCol w:w="676"/>
        <w:gridCol w:w="675"/>
        <w:gridCol w:w="678"/>
        <w:gridCol w:w="674"/>
        <w:gridCol w:w="675"/>
        <w:gridCol w:w="674"/>
        <w:gridCol w:w="679"/>
      </w:tblGrid>
      <w:tr>
        <w:tblPrEx>
          <w:tblCellMar>
            <w:top w:w="0" w:type="dxa"/>
            <w:left w:w="0" w:type="dxa"/>
            <w:bottom w:w="0" w:type="dxa"/>
            <w:right w:w="0" w:type="dxa"/>
          </w:tblCellMar>
        </w:tblPrEx>
        <w:trPr>
          <w:trHeight w:val="391" w:hRule="atLeast"/>
          <w:jc w:val="center"/>
        </w:trPr>
        <w:tc>
          <w:tcPr>
            <w:tcW w:w="2401" w:type="dxa"/>
            <w:vMerge w:val="restart"/>
            <w:tcBorders>
              <w:top w:val="single" w:color="000000" w:sz="12" w:space="0"/>
              <w:left w:val="nil"/>
              <w:bottom w:val="nil"/>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lang w:eastAsia="zh-CN"/>
              </w:rPr>
            </w:pPr>
            <w:r>
              <w:rPr>
                <w:rFonts w:hint="default" w:ascii="Times New Roman" w:hAnsi="Times New Roman" w:eastAsia="仿宋_GB2312" w:cs="Times New Roman"/>
                <w:b/>
                <w:color w:val="000000"/>
                <w:kern w:val="0"/>
                <w:sz w:val="24"/>
                <w:lang w:bidi="ar"/>
              </w:rPr>
              <w:t>流行</w:t>
            </w:r>
            <w:r>
              <w:rPr>
                <w:rFonts w:hint="default" w:ascii="Times New Roman" w:hAnsi="Times New Roman" w:eastAsia="仿宋_GB2312" w:cs="Times New Roman"/>
                <w:b/>
                <w:color w:val="000000"/>
                <w:kern w:val="0"/>
                <w:sz w:val="24"/>
                <w:lang w:eastAsia="zh-CN" w:bidi="ar"/>
              </w:rPr>
              <w:t>地（州、市）</w:t>
            </w:r>
          </w:p>
        </w:tc>
        <w:tc>
          <w:tcPr>
            <w:tcW w:w="768" w:type="dxa"/>
            <w:vMerge w:val="restart"/>
            <w:tcBorders>
              <w:top w:val="single" w:color="000000" w:sz="12" w:space="0"/>
              <w:left w:val="nil"/>
              <w:bottom w:val="nil"/>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rPr>
            </w:pPr>
            <w:r>
              <w:rPr>
                <w:rFonts w:hint="default" w:ascii="Times New Roman" w:hAnsi="Times New Roman" w:eastAsia="仿宋_GB2312" w:cs="Times New Roman"/>
                <w:b/>
                <w:color w:val="000000"/>
                <w:kern w:val="0"/>
                <w:sz w:val="24"/>
                <w:lang w:bidi="ar"/>
              </w:rPr>
              <w:t>流行</w:t>
            </w:r>
            <w:r>
              <w:rPr>
                <w:rFonts w:hint="default" w:ascii="Times New Roman" w:hAnsi="Times New Roman" w:eastAsia="仿宋_GB2312" w:cs="Times New Roman"/>
                <w:b/>
                <w:color w:val="000000"/>
                <w:kern w:val="0"/>
                <w:sz w:val="24"/>
                <w:lang w:bidi="ar"/>
              </w:rPr>
              <w:br w:type="textWrapping"/>
            </w:r>
            <w:r>
              <w:rPr>
                <w:rFonts w:hint="default" w:ascii="Times New Roman" w:hAnsi="Times New Roman" w:eastAsia="仿宋_GB2312" w:cs="Times New Roman"/>
                <w:b/>
                <w:color w:val="000000"/>
                <w:kern w:val="0"/>
                <w:sz w:val="24"/>
                <w:lang w:bidi="ar"/>
              </w:rPr>
              <w:t>县数</w:t>
            </w:r>
          </w:p>
        </w:tc>
        <w:tc>
          <w:tcPr>
            <w:tcW w:w="2776" w:type="dxa"/>
            <w:gridSpan w:val="4"/>
            <w:tcBorders>
              <w:top w:val="single" w:color="000000" w:sz="12" w:space="0"/>
              <w:left w:val="nil"/>
              <w:bottom w:val="single" w:color="000000" w:sz="4"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rPr>
            </w:pPr>
            <w:r>
              <w:rPr>
                <w:rFonts w:hint="default" w:ascii="Times New Roman" w:hAnsi="Times New Roman" w:eastAsia="仿宋_GB2312" w:cs="Times New Roman"/>
                <w:b/>
                <w:color w:val="000000"/>
                <w:kern w:val="0"/>
                <w:sz w:val="24"/>
                <w:lang w:bidi="ar"/>
              </w:rPr>
              <w:t>2023年基线县数</w:t>
            </w:r>
          </w:p>
        </w:tc>
        <w:tc>
          <w:tcPr>
            <w:tcW w:w="2701" w:type="dxa"/>
            <w:gridSpan w:val="4"/>
            <w:tcBorders>
              <w:top w:val="single" w:color="000000" w:sz="12" w:space="0"/>
              <w:left w:val="nil"/>
              <w:bottom w:val="single" w:color="000000" w:sz="4"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rPr>
            </w:pPr>
            <w:r>
              <w:rPr>
                <w:rFonts w:hint="default" w:ascii="Times New Roman" w:hAnsi="Times New Roman" w:eastAsia="仿宋_GB2312" w:cs="Times New Roman"/>
                <w:b/>
                <w:color w:val="000000"/>
                <w:kern w:val="0"/>
                <w:sz w:val="24"/>
                <w:lang w:bidi="ar"/>
              </w:rPr>
              <w:t>2025年目标县数</w:t>
            </w:r>
          </w:p>
        </w:tc>
        <w:tc>
          <w:tcPr>
            <w:tcW w:w="2703" w:type="dxa"/>
            <w:gridSpan w:val="4"/>
            <w:tcBorders>
              <w:top w:val="single" w:color="000000" w:sz="12" w:space="0"/>
              <w:left w:val="nil"/>
              <w:bottom w:val="single" w:color="000000" w:sz="4"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rPr>
            </w:pPr>
            <w:r>
              <w:rPr>
                <w:rFonts w:hint="default" w:ascii="Times New Roman" w:hAnsi="Times New Roman" w:eastAsia="仿宋_GB2312" w:cs="Times New Roman"/>
                <w:b/>
                <w:color w:val="000000"/>
                <w:kern w:val="0"/>
                <w:sz w:val="24"/>
                <w:lang w:bidi="ar"/>
              </w:rPr>
              <w:t>2027年目标县数</w:t>
            </w:r>
          </w:p>
        </w:tc>
        <w:tc>
          <w:tcPr>
            <w:tcW w:w="2702" w:type="dxa"/>
            <w:gridSpan w:val="4"/>
            <w:tcBorders>
              <w:top w:val="single" w:color="000000" w:sz="12" w:space="0"/>
              <w:left w:val="nil"/>
              <w:bottom w:val="single" w:color="000000" w:sz="4"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b/>
                <w:color w:val="000000"/>
                <w:sz w:val="24"/>
              </w:rPr>
            </w:pPr>
            <w:r>
              <w:rPr>
                <w:rFonts w:hint="default" w:ascii="Times New Roman" w:hAnsi="Times New Roman" w:eastAsia="仿宋_GB2312" w:cs="Times New Roman"/>
                <w:b/>
                <w:color w:val="000000"/>
                <w:kern w:val="0"/>
                <w:sz w:val="24"/>
                <w:lang w:bidi="ar"/>
              </w:rPr>
              <w:t>2030年目标县数</w:t>
            </w:r>
          </w:p>
        </w:tc>
      </w:tr>
      <w:tr>
        <w:tblPrEx>
          <w:tblCellMar>
            <w:top w:w="0" w:type="dxa"/>
            <w:left w:w="0" w:type="dxa"/>
            <w:bottom w:w="0" w:type="dxa"/>
            <w:right w:w="0" w:type="dxa"/>
          </w:tblCellMar>
        </w:tblPrEx>
        <w:trPr>
          <w:trHeight w:val="698" w:hRule="atLeast"/>
          <w:jc w:val="center"/>
        </w:trPr>
        <w:tc>
          <w:tcPr>
            <w:tcW w:w="2401" w:type="dxa"/>
            <w:vMerge w:val="continue"/>
            <w:tcBorders>
              <w:top w:val="nil"/>
              <w:left w:val="nil"/>
              <w:bottom w:val="single" w:color="000000" w:sz="12" w:space="0"/>
              <w:right w:val="nil"/>
            </w:tcBorders>
            <w:noWrap w:val="0"/>
            <w:tcMar>
              <w:top w:w="12" w:type="dxa"/>
              <w:left w:w="12" w:type="dxa"/>
              <w:right w:w="12" w:type="dxa"/>
            </w:tcMar>
            <w:vAlign w:val="center"/>
          </w:tcPr>
          <w:p>
            <w:pPr>
              <w:jc w:val="center"/>
              <w:rPr>
                <w:rFonts w:hint="default" w:ascii="Times New Roman" w:hAnsi="Times New Roman" w:eastAsia="仿宋_GB2312" w:cs="Times New Roman"/>
                <w:b/>
                <w:sz w:val="24"/>
              </w:rPr>
            </w:pPr>
          </w:p>
        </w:tc>
        <w:tc>
          <w:tcPr>
            <w:tcW w:w="768" w:type="dxa"/>
            <w:vMerge w:val="continue"/>
            <w:tcBorders>
              <w:top w:val="nil"/>
              <w:left w:val="nil"/>
              <w:bottom w:val="single" w:color="000000" w:sz="12" w:space="0"/>
              <w:right w:val="nil"/>
            </w:tcBorders>
            <w:noWrap w:val="0"/>
            <w:tcMar>
              <w:top w:w="12" w:type="dxa"/>
              <w:left w:w="12" w:type="dxa"/>
              <w:right w:w="12" w:type="dxa"/>
            </w:tcMar>
            <w:vAlign w:val="center"/>
          </w:tcPr>
          <w:p>
            <w:pPr>
              <w:jc w:val="center"/>
              <w:rPr>
                <w:rFonts w:hint="default" w:ascii="Times New Roman" w:hAnsi="Times New Roman" w:eastAsia="仿宋_GB2312" w:cs="Times New Roman"/>
                <w:b/>
                <w:sz w:val="24"/>
              </w:rPr>
            </w:pPr>
          </w:p>
        </w:tc>
        <w:tc>
          <w:tcPr>
            <w:tcW w:w="748"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疫情</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4"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6"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阻断</w:t>
            </w:r>
          </w:p>
        </w:tc>
        <w:tc>
          <w:tcPr>
            <w:tcW w:w="678"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消除</w:t>
            </w:r>
          </w:p>
        </w:tc>
        <w:tc>
          <w:tcPr>
            <w:tcW w:w="674"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疫情</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5"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5"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阻断</w:t>
            </w:r>
          </w:p>
        </w:tc>
        <w:tc>
          <w:tcPr>
            <w:tcW w:w="677"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消除</w:t>
            </w:r>
          </w:p>
        </w:tc>
        <w:tc>
          <w:tcPr>
            <w:tcW w:w="674"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疫情</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6"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5"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阻断</w:t>
            </w:r>
          </w:p>
        </w:tc>
        <w:tc>
          <w:tcPr>
            <w:tcW w:w="678"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消除</w:t>
            </w:r>
          </w:p>
        </w:tc>
        <w:tc>
          <w:tcPr>
            <w:tcW w:w="674"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疫情</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5"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控制</w:t>
            </w:r>
          </w:p>
        </w:tc>
        <w:tc>
          <w:tcPr>
            <w:tcW w:w="674"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传播</w:t>
            </w:r>
            <w:r>
              <w:rPr>
                <w:rFonts w:hint="default" w:ascii="Times New Roman" w:hAnsi="Times New Roman" w:eastAsia="仿宋_GB2312" w:cs="Times New Roman"/>
                <w:b/>
                <w:kern w:val="0"/>
                <w:sz w:val="24"/>
                <w:lang w:bidi="ar"/>
              </w:rPr>
              <w:br w:type="textWrapping"/>
            </w:r>
            <w:r>
              <w:rPr>
                <w:rFonts w:hint="default" w:ascii="Times New Roman" w:hAnsi="Times New Roman" w:eastAsia="仿宋_GB2312" w:cs="Times New Roman"/>
                <w:b/>
                <w:kern w:val="0"/>
                <w:sz w:val="24"/>
                <w:lang w:bidi="ar"/>
              </w:rPr>
              <w:t>阻断</w:t>
            </w:r>
          </w:p>
        </w:tc>
        <w:tc>
          <w:tcPr>
            <w:tcW w:w="679" w:type="dxa"/>
            <w:tcBorders>
              <w:top w:val="single" w:color="000000" w:sz="4" w:space="0"/>
              <w:left w:val="nil"/>
              <w:bottom w:val="single" w:color="000000" w:sz="12" w:space="0"/>
              <w:right w:val="nil"/>
            </w:tcBorders>
            <w:noWrap w:val="0"/>
            <w:tcMar>
              <w:top w:w="12" w:type="dxa"/>
              <w:left w:w="12" w:type="dxa"/>
              <w:right w:w="12" w:type="dxa"/>
            </w:tcMar>
            <w:vAlign w:val="center"/>
          </w:tcPr>
          <w:p>
            <w:pPr>
              <w:widowControl/>
              <w:jc w:val="center"/>
              <w:textAlignment w:val="center"/>
              <w:rPr>
                <w:rFonts w:hint="default" w:ascii="Times New Roman" w:hAnsi="Times New Roman" w:eastAsia="仿宋_GB2312" w:cs="Times New Roman"/>
                <w:b/>
                <w:sz w:val="24"/>
              </w:rPr>
            </w:pPr>
            <w:r>
              <w:rPr>
                <w:rFonts w:hint="default" w:ascii="Times New Roman" w:hAnsi="Times New Roman" w:eastAsia="仿宋_GB2312" w:cs="Times New Roman"/>
                <w:b/>
                <w:kern w:val="0"/>
                <w:sz w:val="24"/>
                <w:lang w:bidi="ar"/>
              </w:rPr>
              <w:t>消除</w:t>
            </w:r>
          </w:p>
        </w:tc>
      </w:tr>
      <w:tr>
        <w:tblPrEx>
          <w:tblCellMar>
            <w:top w:w="0" w:type="dxa"/>
            <w:left w:w="0" w:type="dxa"/>
            <w:bottom w:w="0" w:type="dxa"/>
            <w:right w:w="0" w:type="dxa"/>
          </w:tblCellMar>
        </w:tblPrEx>
        <w:trPr>
          <w:trHeight w:val="391" w:hRule="atLeast"/>
          <w:jc w:val="center"/>
        </w:trPr>
        <w:tc>
          <w:tcPr>
            <w:tcW w:w="2401"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阿克苏地区</w:t>
            </w:r>
          </w:p>
        </w:tc>
        <w:tc>
          <w:tcPr>
            <w:tcW w:w="768"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748"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lang w:eastAsia="zh-CN"/>
              </w:rPr>
            </w:pPr>
            <w:r>
              <w:rPr>
                <w:rFonts w:hint="default" w:ascii="Times New Roman" w:hAnsi="Times New Roman" w:eastAsia="仿宋_GB2312" w:cs="Times New Roman"/>
                <w:kern w:val="0"/>
                <w:sz w:val="24"/>
                <w:lang w:val="en-US" w:eastAsia="zh-CN" w:bidi="ar"/>
              </w:rPr>
              <w:t>1</w:t>
            </w:r>
          </w:p>
        </w:tc>
        <w:tc>
          <w:tcPr>
            <w:tcW w:w="674"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676"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675"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4"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single" w:color="000000" w:sz="12" w:space="0"/>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阿勒泰地区</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巴州</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6</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博州</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昌吉州</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6</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哈密市</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和田地区</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喀什地区</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6</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克拉玛依市</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90"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克州</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塔城地区</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吐鲁番市</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3</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2</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乌鲁木齐市</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5</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51" w:hRule="atLeast"/>
          <w:jc w:val="center"/>
        </w:trPr>
        <w:tc>
          <w:tcPr>
            <w:tcW w:w="2401" w:type="dxa"/>
            <w:tcBorders>
              <w:top w:val="nil"/>
              <w:left w:val="nil"/>
              <w:bottom w:val="nil"/>
              <w:right w:val="nil"/>
            </w:tcBorders>
            <w:shd w:val="clear" w:color="auto" w:fill="FFFFFF"/>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伊犁州</w:t>
            </w:r>
          </w:p>
        </w:tc>
        <w:tc>
          <w:tcPr>
            <w:tcW w:w="76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74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675"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9" w:type="dxa"/>
            <w:tcBorders>
              <w:top w:val="nil"/>
              <w:left w:val="nil"/>
              <w:bottom w:val="nil"/>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r>
        <w:tblPrEx>
          <w:tblCellMar>
            <w:top w:w="0" w:type="dxa"/>
            <w:left w:w="0" w:type="dxa"/>
            <w:bottom w:w="0" w:type="dxa"/>
            <w:right w:w="0" w:type="dxa"/>
          </w:tblCellMar>
        </w:tblPrEx>
        <w:trPr>
          <w:trHeight w:val="391" w:hRule="atLeast"/>
          <w:jc w:val="center"/>
        </w:trPr>
        <w:tc>
          <w:tcPr>
            <w:tcW w:w="2401"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合计</w:t>
            </w:r>
          </w:p>
        </w:tc>
        <w:tc>
          <w:tcPr>
            <w:tcW w:w="768"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81</w:t>
            </w:r>
          </w:p>
        </w:tc>
        <w:tc>
          <w:tcPr>
            <w:tcW w:w="748"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lang w:eastAsia="zh-CN"/>
              </w:rPr>
            </w:pPr>
            <w:r>
              <w:rPr>
                <w:rFonts w:hint="default" w:ascii="Times New Roman" w:hAnsi="Times New Roman" w:eastAsia="仿宋_GB2312" w:cs="Times New Roman"/>
                <w:kern w:val="0"/>
                <w:sz w:val="24"/>
                <w:lang w:val="en-US" w:eastAsia="zh-CN" w:bidi="ar"/>
              </w:rPr>
              <w:t>7</w:t>
            </w:r>
          </w:p>
        </w:tc>
        <w:tc>
          <w:tcPr>
            <w:tcW w:w="674"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6"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10</w:t>
            </w:r>
          </w:p>
        </w:tc>
        <w:tc>
          <w:tcPr>
            <w:tcW w:w="675"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5"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7"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64</w:t>
            </w:r>
          </w:p>
        </w:tc>
        <w:tc>
          <w:tcPr>
            <w:tcW w:w="676"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9</w:t>
            </w:r>
          </w:p>
        </w:tc>
        <w:tc>
          <w:tcPr>
            <w:tcW w:w="675"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8"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c>
          <w:tcPr>
            <w:tcW w:w="674"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81</w:t>
            </w:r>
          </w:p>
        </w:tc>
        <w:tc>
          <w:tcPr>
            <w:tcW w:w="675"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48</w:t>
            </w:r>
          </w:p>
        </w:tc>
        <w:tc>
          <w:tcPr>
            <w:tcW w:w="674"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7</w:t>
            </w:r>
          </w:p>
        </w:tc>
        <w:tc>
          <w:tcPr>
            <w:tcW w:w="679" w:type="dxa"/>
            <w:tcBorders>
              <w:top w:val="nil"/>
              <w:left w:val="nil"/>
              <w:bottom w:val="single" w:color="000000" w:sz="12" w:space="0"/>
              <w:right w:val="nil"/>
            </w:tcBorders>
            <w:noWrap/>
            <w:tcMar>
              <w:top w:w="12" w:type="dxa"/>
              <w:left w:w="12" w:type="dxa"/>
              <w:right w:w="12" w:type="dxa"/>
            </w:tcMar>
            <w:vAlign w:val="center"/>
          </w:tcPr>
          <w:p>
            <w:pPr>
              <w:widowControl/>
              <w:jc w:val="center"/>
              <w:textAlignment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bidi="ar"/>
              </w:rPr>
              <w:t>0</w:t>
            </w:r>
          </w:p>
        </w:tc>
      </w:tr>
    </w:tbl>
    <w:p>
      <w:pPr>
        <w:pStyle w:val="3"/>
        <w:autoSpaceDE w:val="0"/>
        <w:autoSpaceDN w:val="0"/>
        <w:spacing w:line="320" w:lineRule="exact"/>
        <w:rPr>
          <w:rFonts w:hint="default" w:ascii="Times New Roman" w:hAnsi="Times New Roman" w:eastAsia="仿宋_GB2312" w:cs="Times New Roman"/>
          <w:kern w:val="0"/>
          <w:lang w:eastAsia="zh-TW" w:bidi="ar"/>
        </w:rPr>
      </w:pPr>
      <w:r>
        <w:rPr>
          <w:rFonts w:hint="default" w:ascii="Times New Roman" w:hAnsi="Times New Roman" w:eastAsia="仿宋_GB2312" w:cs="Times New Roman"/>
          <w:kern w:val="0"/>
          <w:lang w:eastAsia="zh-TW" w:bidi="ar"/>
        </w:rPr>
        <w:t>注：1．全疆共有81个流行县（市、区）；</w:t>
      </w:r>
    </w:p>
    <w:p>
      <w:pPr>
        <w:pStyle w:val="3"/>
        <w:autoSpaceDE w:val="0"/>
        <w:autoSpaceDN w:val="0"/>
        <w:spacing w:line="320" w:lineRule="exact"/>
        <w:ind w:firstLine="480" w:firstLineChars="200"/>
        <w:rPr>
          <w:rFonts w:hint="default" w:ascii="Times New Roman" w:hAnsi="Times New Roman" w:eastAsia="仿宋_GB2312" w:cs="Times New Roman"/>
          <w:kern w:val="0"/>
          <w:lang w:eastAsia="zh-TW" w:bidi="ar"/>
        </w:rPr>
      </w:pPr>
      <w:r>
        <w:rPr>
          <w:rFonts w:hint="default" w:ascii="Times New Roman" w:hAnsi="Times New Roman" w:eastAsia="仿宋_GB2312" w:cs="Times New Roman"/>
          <w:kern w:val="0"/>
          <w:lang w:eastAsia="zh-TW" w:bidi="ar"/>
        </w:rPr>
        <w:t>2．2023 年基线数据根据各流行县近年防治和监测数据推算上报；</w:t>
      </w:r>
    </w:p>
    <w:p>
      <w:pPr>
        <w:pStyle w:val="3"/>
        <w:autoSpaceDE w:val="0"/>
        <w:autoSpaceDN w:val="0"/>
        <w:spacing w:line="320" w:lineRule="exact"/>
        <w:ind w:firstLine="480" w:firstLineChars="200"/>
        <w:rPr>
          <w:rFonts w:hint="default" w:ascii="Times New Roman" w:hAnsi="Times New Roman" w:eastAsia="仿宋_GB2312" w:cs="Times New Roman"/>
          <w:kern w:val="0"/>
          <w:lang w:eastAsia="zh-TW" w:bidi="ar"/>
        </w:rPr>
      </w:pPr>
      <w:r>
        <w:rPr>
          <w:rFonts w:hint="default" w:ascii="Times New Roman" w:hAnsi="Times New Roman" w:eastAsia="仿宋_GB2312" w:cs="Times New Roman"/>
          <w:kern w:val="0"/>
          <w:lang w:eastAsia="zh-TW" w:bidi="ar"/>
        </w:rPr>
        <w:t>3．表中疫情控制县数包含传播控制、传播阻断和消除县数；传播控制县数包括传播阻断和消除县数；以此类推。</w:t>
      </w: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320" w:lineRule="exact"/>
        <w:rPr>
          <w:rFonts w:hint="default" w:ascii="Times New Roman" w:hAnsi="Times New Roman" w:eastAsia="黑体" w:cs="Times New Roman"/>
          <w:kern w:val="0"/>
          <w:sz w:val="32"/>
          <w:szCs w:val="32"/>
          <w:lang w:bidi="ar"/>
        </w:rPr>
      </w:pPr>
    </w:p>
    <w:p>
      <w:pPr>
        <w:pStyle w:val="3"/>
        <w:autoSpaceDE w:val="0"/>
        <w:autoSpaceDN w:val="0"/>
        <w:spacing w:line="320" w:lineRule="exact"/>
        <w:rPr>
          <w:rFonts w:hint="default" w:ascii="Times New Roman" w:hAnsi="Times New Roman" w:eastAsia="黑体" w:cs="Times New Roman"/>
          <w:kern w:val="0"/>
          <w:sz w:val="32"/>
          <w:szCs w:val="32"/>
          <w:lang w:bidi="ar"/>
        </w:rPr>
      </w:pPr>
      <w:r>
        <w:rPr>
          <w:rFonts w:hint="default" w:ascii="Times New Roman" w:hAnsi="Times New Roman" w:eastAsia="黑体" w:cs="Times New Roman"/>
          <w:kern w:val="0"/>
          <w:sz w:val="32"/>
          <w:szCs w:val="32"/>
          <w:lang w:bidi="ar"/>
        </w:rPr>
        <w:t>附表</w:t>
      </w:r>
      <w:r>
        <w:rPr>
          <w:rFonts w:hint="default" w:ascii="Times New Roman" w:hAnsi="Times New Roman" w:eastAsia="黑体" w:cs="Times New Roman"/>
          <w:kern w:val="0"/>
          <w:sz w:val="32"/>
          <w:szCs w:val="32"/>
          <w:lang w:val="en-US" w:eastAsia="zh-CN" w:bidi="ar"/>
        </w:rPr>
        <w:t>2</w:t>
      </w:r>
    </w:p>
    <w:p>
      <w:pPr>
        <w:pStyle w:val="3"/>
        <w:autoSpaceDE w:val="0"/>
        <w:autoSpaceDN w:val="0"/>
        <w:spacing w:line="560" w:lineRule="exact"/>
        <w:jc w:val="center"/>
        <w:rPr>
          <w:rFonts w:hint="default" w:ascii="Times New Roman" w:hAnsi="Times New Roman" w:eastAsia="方正小标宋简体" w:cs="Times New Roman"/>
          <w:color w:val="auto"/>
          <w:kern w:val="0"/>
          <w:sz w:val="44"/>
          <w:szCs w:val="44"/>
          <w:lang w:bidi="ar"/>
        </w:rPr>
      </w:pPr>
      <w:r>
        <w:rPr>
          <w:rFonts w:hint="default" w:ascii="Times New Roman" w:hAnsi="Times New Roman" w:eastAsia="方正小标宋简体" w:cs="Times New Roman"/>
          <w:color w:val="auto"/>
          <w:kern w:val="0"/>
          <w:sz w:val="44"/>
          <w:szCs w:val="44"/>
          <w:lang w:eastAsia="zh-CN" w:bidi="ar"/>
        </w:rPr>
        <w:t>自治区</w:t>
      </w:r>
      <w:r>
        <w:rPr>
          <w:rFonts w:hint="default" w:ascii="Times New Roman" w:hAnsi="Times New Roman" w:eastAsia="方正小标宋简体" w:cs="Times New Roman"/>
          <w:color w:val="auto"/>
          <w:kern w:val="0"/>
          <w:sz w:val="44"/>
          <w:szCs w:val="44"/>
          <w:lang w:bidi="ar"/>
        </w:rPr>
        <w:t>包虫病防治目标推进县（市、区）明细表</w:t>
      </w:r>
    </w:p>
    <w:p>
      <w:pPr>
        <w:pStyle w:val="3"/>
        <w:autoSpaceDE w:val="0"/>
        <w:autoSpaceDN w:val="0"/>
        <w:spacing w:line="320" w:lineRule="exact"/>
        <w:ind w:left="720" w:hanging="720" w:hangingChars="300"/>
        <w:rPr>
          <w:rFonts w:hint="default" w:ascii="Times New Roman" w:hAnsi="Times New Roman" w:eastAsia="仿宋_GB2312" w:cs="Times New Roman"/>
          <w:kern w:val="0"/>
          <w:lang w:eastAsia="zh-TW" w:bidi="ar"/>
        </w:rPr>
      </w:pPr>
    </w:p>
    <w:p>
      <w:pPr>
        <w:pStyle w:val="3"/>
        <w:autoSpaceDE w:val="0"/>
        <w:autoSpaceDN w:val="0"/>
        <w:spacing w:line="320" w:lineRule="exact"/>
        <w:ind w:left="720" w:hanging="720" w:hangingChars="300"/>
        <w:rPr>
          <w:rFonts w:hint="default" w:ascii="Times New Roman" w:hAnsi="Times New Roman" w:cs="Times New Roman"/>
        </w:rPr>
      </w:pPr>
      <w:r>
        <w:rPr>
          <w:rFonts w:hint="default" w:ascii="Times New Roman" w:hAnsi="Times New Roman" w:eastAsia="宋体" w:cs="Times New Roman"/>
          <w:lang w:eastAsia="zh-CN"/>
        </w:rPr>
        <w:drawing>
          <wp:anchor distT="0" distB="0" distL="114300" distR="114300" simplePos="0" relativeHeight="251659264" behindDoc="0" locked="0" layoutInCell="1" allowOverlap="1">
            <wp:simplePos x="0" y="0"/>
            <wp:positionH relativeFrom="column">
              <wp:posOffset>151130</wp:posOffset>
            </wp:positionH>
            <wp:positionV relativeFrom="paragraph">
              <wp:posOffset>81915</wp:posOffset>
            </wp:positionV>
            <wp:extent cx="8173085" cy="3664585"/>
            <wp:effectExtent l="0" t="0" r="18415" b="12065"/>
            <wp:wrapSquare wrapText="bothSides"/>
            <wp:docPr id="1" name="图片 4" descr="8c9d464d98acd27b916572e92777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8c9d464d98acd27b916572e927778d5"/>
                    <pic:cNvPicPr>
                      <a:picLocks noChangeAspect="1"/>
                    </pic:cNvPicPr>
                  </pic:nvPicPr>
                  <pic:blipFill>
                    <a:blip r:embed="rId6"/>
                    <a:stretch>
                      <a:fillRect/>
                    </a:stretch>
                  </pic:blipFill>
                  <pic:spPr>
                    <a:xfrm>
                      <a:off x="0" y="0"/>
                      <a:ext cx="8173085" cy="3664585"/>
                    </a:xfrm>
                    <a:prstGeom prst="rect">
                      <a:avLst/>
                    </a:prstGeom>
                    <a:noFill/>
                    <a:ln>
                      <a:noFill/>
                    </a:ln>
                  </pic:spPr>
                </pic:pic>
              </a:graphicData>
            </a:graphic>
          </wp:anchor>
        </w:drawing>
      </w:r>
      <w:r>
        <w:rPr>
          <w:rFonts w:hint="default" w:ascii="Times New Roman" w:hAnsi="Times New Roman" w:eastAsia="仿宋_GB2312" w:cs="Times New Roman"/>
          <w:kern w:val="0"/>
          <w:lang w:eastAsia="zh-TW" w:bidi="ar"/>
        </w:rPr>
        <w:t>注：1．全疆2023年基线调查达到疫情控制县:阿克苏地区的温宿县、沙雅县，巴州的且末县、尉犁县，哈密市的伊吾县，和田地区的民丰县，克拉玛依市的克拉玛依区、乌尔禾区；2．2030年按照国家方案要求全区81个流行县（市、区）均需达到疫情控制的标准，此表不再单独罗列。</w:t>
      </w: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r>
        <w:rPr>
          <w:rFonts w:hint="default" w:ascii="Times New Roman" w:hAnsi="Times New Roman" w:eastAsia="黑体" w:cs="Times New Roman"/>
          <w:kern w:val="0"/>
          <w:sz w:val="32"/>
          <w:szCs w:val="32"/>
          <w:lang w:bidi="ar"/>
        </w:rPr>
        <w:t>附表</w:t>
      </w:r>
      <w:r>
        <w:rPr>
          <w:rFonts w:hint="default" w:ascii="Times New Roman" w:hAnsi="Times New Roman" w:eastAsia="黑体" w:cs="Times New Roman"/>
          <w:kern w:val="0"/>
          <w:sz w:val="32"/>
          <w:szCs w:val="32"/>
          <w:lang w:val="en-US" w:eastAsia="zh-CN" w:bidi="ar"/>
        </w:rPr>
        <w:t>3</w:t>
      </w:r>
    </w:p>
    <w:p>
      <w:pPr>
        <w:pStyle w:val="3"/>
        <w:autoSpaceDE w:val="0"/>
        <w:autoSpaceDN w:val="0"/>
        <w:spacing w:line="560" w:lineRule="exact"/>
        <w:jc w:val="center"/>
        <w:rPr>
          <w:rFonts w:hint="default" w:ascii="Times New Roman" w:hAnsi="Times New Roman" w:eastAsia="方正小标宋简体" w:cs="Times New Roman"/>
          <w:kern w:val="0"/>
          <w:sz w:val="44"/>
          <w:szCs w:val="44"/>
          <w:lang w:bidi="ar"/>
        </w:rPr>
      </w:pPr>
      <w:r>
        <w:rPr>
          <w:rFonts w:hint="default" w:ascii="Times New Roman" w:hAnsi="Times New Roman" w:eastAsia="方正小标宋简体" w:cs="Times New Roman"/>
          <w:kern w:val="0"/>
          <w:sz w:val="44"/>
          <w:szCs w:val="44"/>
          <w:lang w:eastAsia="zh-CN" w:bidi="ar"/>
        </w:rPr>
        <w:t>自治区</w:t>
      </w:r>
      <w:r>
        <w:rPr>
          <w:rFonts w:hint="default" w:ascii="Times New Roman" w:hAnsi="Times New Roman" w:eastAsia="方正小标宋简体" w:cs="Times New Roman"/>
          <w:kern w:val="0"/>
          <w:sz w:val="44"/>
          <w:szCs w:val="44"/>
          <w:lang w:bidi="ar"/>
        </w:rPr>
        <w:t>包虫病疫情控制与阻断、消除指标要求</w:t>
      </w:r>
    </w:p>
    <w:tbl>
      <w:tblPr>
        <w:tblStyle w:val="4"/>
        <w:tblW w:w="11926"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
        <w:gridCol w:w="3334"/>
        <w:gridCol w:w="2136"/>
        <w:gridCol w:w="2134"/>
        <w:gridCol w:w="2136"/>
        <w:gridCol w:w="2136"/>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gridBefore w:val="1"/>
          <w:wBefore w:w="50" w:type="dxa"/>
          <w:trHeight w:val="328" w:hRule="atLeast"/>
          <w:jc w:val="center"/>
        </w:trPr>
        <w:tc>
          <w:tcPr>
            <w:tcW w:w="3334" w:type="dxa"/>
            <w:vMerge w:val="restart"/>
            <w:tcBorders>
              <w:top w:val="single" w:color="000000" w:sz="12" w:space="0"/>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b/>
                <w:color w:val="000000"/>
                <w:kern w:val="0"/>
                <w:sz w:val="24"/>
              </w:rPr>
            </w:pPr>
            <w:r>
              <w:rPr>
                <w:rFonts w:hint="default" w:ascii="Times New Roman" w:hAnsi="Times New Roman" w:cs="Times New Roman"/>
                <w:b/>
                <w:color w:val="000000"/>
                <w:sz w:val="24"/>
              </w:rPr>
              <w:t>工作指标</w:t>
            </w:r>
          </w:p>
        </w:tc>
        <w:tc>
          <w:tcPr>
            <w:tcW w:w="8542" w:type="dxa"/>
            <w:gridSpan w:val="4"/>
            <w:tcBorders>
              <w:top w:val="single" w:color="000000" w:sz="12" w:space="0"/>
              <w:left w:val="nil"/>
              <w:bottom w:val="single" w:color="000000" w:sz="4"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b/>
                <w:color w:val="000000"/>
                <w:sz w:val="24"/>
              </w:rPr>
            </w:pPr>
            <w:r>
              <w:rPr>
                <w:rFonts w:hint="default" w:ascii="Times New Roman" w:hAnsi="Times New Roman" w:cs="Times New Roman"/>
                <w:b/>
                <w:color w:val="000000"/>
                <w:sz w:val="24"/>
              </w:rPr>
              <w:t>包虫病控制阶段</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gridBefore w:val="1"/>
          <w:wBefore w:w="50" w:type="dxa"/>
          <w:trHeight w:val="404" w:hRule="atLeast"/>
          <w:jc w:val="center"/>
        </w:trPr>
        <w:tc>
          <w:tcPr>
            <w:tcW w:w="3334" w:type="dxa"/>
            <w:vMerge w:val="continue"/>
            <w:tcBorders>
              <w:top w:val="single" w:color="000000" w:sz="12" w:space="0"/>
              <w:left w:val="nil"/>
              <w:bottom w:val="nil"/>
              <w:right w:val="nil"/>
            </w:tcBorders>
            <w:noWrap w:val="0"/>
            <w:vAlign w:val="center"/>
          </w:tcPr>
          <w:p>
            <w:pPr>
              <w:widowControl/>
              <w:rPr>
                <w:rFonts w:hint="default" w:ascii="Times New Roman" w:hAnsi="Times New Roman" w:eastAsia="仿宋_GB2312" w:cs="Times New Roman"/>
                <w:b/>
                <w:color w:val="000000"/>
                <w:sz w:val="24"/>
              </w:rPr>
            </w:pPr>
          </w:p>
        </w:tc>
        <w:tc>
          <w:tcPr>
            <w:tcW w:w="2136" w:type="dxa"/>
            <w:tcBorders>
              <w:top w:val="single" w:color="000000" w:sz="4" w:space="0"/>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b/>
                <w:color w:val="000000"/>
                <w:sz w:val="24"/>
              </w:rPr>
            </w:pPr>
            <w:r>
              <w:rPr>
                <w:rFonts w:hint="default" w:ascii="Times New Roman" w:hAnsi="Times New Roman" w:cs="Times New Roman"/>
                <w:b/>
                <w:color w:val="000000"/>
                <w:sz w:val="24"/>
              </w:rPr>
              <w:t>疫情控制</w:t>
            </w:r>
          </w:p>
        </w:tc>
        <w:tc>
          <w:tcPr>
            <w:tcW w:w="2134" w:type="dxa"/>
            <w:tcBorders>
              <w:top w:val="single" w:color="000000" w:sz="4" w:space="0"/>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b/>
                <w:color w:val="000000"/>
                <w:sz w:val="24"/>
              </w:rPr>
            </w:pPr>
            <w:r>
              <w:rPr>
                <w:rFonts w:hint="default" w:ascii="Times New Roman" w:hAnsi="Times New Roman" w:cs="Times New Roman"/>
                <w:b/>
                <w:color w:val="000000"/>
                <w:sz w:val="24"/>
              </w:rPr>
              <w:t>传播控制</w:t>
            </w:r>
          </w:p>
        </w:tc>
        <w:tc>
          <w:tcPr>
            <w:tcW w:w="2136" w:type="dxa"/>
            <w:tcBorders>
              <w:top w:val="single" w:color="000000" w:sz="4" w:space="0"/>
              <w:left w:val="nil"/>
              <w:bottom w:val="single" w:color="000000" w:sz="12" w:space="0"/>
              <w:right w:val="nil"/>
            </w:tcBorders>
            <w:noWrap w:val="0"/>
            <w:tcMar>
              <w:top w:w="12" w:type="dxa"/>
              <w:left w:w="12" w:type="dxa"/>
              <w:bottom w:w="0" w:type="dxa"/>
              <w:right w:w="12" w:type="dxa"/>
            </w:tcMar>
            <w:vAlign w:val="center"/>
          </w:tcPr>
          <w:p>
            <w:pPr>
              <w:widowControl/>
              <w:ind w:firstLine="480" w:firstLineChars="200"/>
              <w:jc w:val="center"/>
              <w:textAlignment w:val="top"/>
              <w:rPr>
                <w:rFonts w:hint="default" w:ascii="Times New Roman" w:hAnsi="Times New Roman" w:cs="Times New Roman"/>
                <w:b/>
                <w:color w:val="000000"/>
                <w:sz w:val="24"/>
              </w:rPr>
            </w:pPr>
            <w:r>
              <w:rPr>
                <w:rFonts w:hint="default" w:ascii="Times New Roman" w:hAnsi="Times New Roman" w:cs="Times New Roman"/>
                <w:b/>
                <w:color w:val="000000"/>
                <w:sz w:val="24"/>
              </w:rPr>
              <w:t>传播阻断</w:t>
            </w:r>
          </w:p>
        </w:tc>
        <w:tc>
          <w:tcPr>
            <w:tcW w:w="2136" w:type="dxa"/>
            <w:tcBorders>
              <w:top w:val="single" w:color="000000" w:sz="4" w:space="0"/>
              <w:left w:val="nil"/>
              <w:bottom w:val="single" w:color="000000" w:sz="12" w:space="0"/>
              <w:right w:val="nil"/>
            </w:tcBorders>
            <w:noWrap w:val="0"/>
            <w:tcMar>
              <w:top w:w="12" w:type="dxa"/>
              <w:left w:w="12" w:type="dxa"/>
              <w:bottom w:w="0" w:type="dxa"/>
              <w:right w:w="12" w:type="dxa"/>
            </w:tcMar>
            <w:vAlign w:val="center"/>
          </w:tcPr>
          <w:p>
            <w:pPr>
              <w:widowControl/>
              <w:ind w:firstLine="480" w:firstLineChars="200"/>
              <w:jc w:val="center"/>
              <w:textAlignment w:val="top"/>
              <w:rPr>
                <w:rFonts w:hint="default" w:ascii="Times New Roman" w:hAnsi="Times New Roman" w:cs="Times New Roman"/>
                <w:b/>
                <w:color w:val="000000"/>
                <w:sz w:val="24"/>
              </w:rPr>
            </w:pPr>
            <w:r>
              <w:rPr>
                <w:rFonts w:hint="default" w:ascii="Times New Roman" w:hAnsi="Times New Roman" w:cs="Times New Roman"/>
                <w:b/>
                <w:color w:val="000000"/>
                <w:sz w:val="24"/>
              </w:rPr>
              <w:t>消除</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3384" w:type="dxa"/>
            <w:gridSpan w:val="2"/>
            <w:tcBorders>
              <w:top w:val="single" w:color="000000" w:sz="12" w:space="0"/>
              <w:left w:val="nil"/>
              <w:bottom w:val="nil"/>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cs="Times New Roman"/>
                <w:color w:val="000000"/>
                <w:sz w:val="24"/>
              </w:rPr>
            </w:pPr>
            <w:r>
              <w:rPr>
                <w:rFonts w:hint="default" w:ascii="Times New Roman" w:hAnsi="Times New Roman" w:cs="Times New Roman"/>
                <w:color w:val="000000"/>
                <w:sz w:val="24"/>
              </w:rPr>
              <w:t>儿童包虫病患病率</w:t>
            </w:r>
            <w:r>
              <w:rPr>
                <w:rFonts w:hint="default" w:ascii="Times New Roman" w:hAnsi="Times New Roman" w:cs="Times New Roman"/>
                <w:sz w:val="24"/>
                <w:vertAlign w:val="superscript"/>
              </w:rPr>
              <w:t>*</w:t>
            </w:r>
          </w:p>
        </w:tc>
        <w:tc>
          <w:tcPr>
            <w:tcW w:w="2136" w:type="dxa"/>
            <w:tcBorders>
              <w:top w:val="single" w:color="000000" w:sz="12" w:space="0"/>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1%</w:t>
            </w:r>
          </w:p>
        </w:tc>
        <w:tc>
          <w:tcPr>
            <w:tcW w:w="2134" w:type="dxa"/>
            <w:tcBorders>
              <w:top w:val="single" w:color="000000" w:sz="12" w:space="0"/>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0.5%</w:t>
            </w:r>
          </w:p>
        </w:tc>
        <w:tc>
          <w:tcPr>
            <w:tcW w:w="2136" w:type="dxa"/>
            <w:tcBorders>
              <w:top w:val="single" w:color="000000" w:sz="12" w:space="0"/>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color w:val="000000"/>
                <w:sz w:val="24"/>
              </w:rPr>
            </w:pPr>
            <w:r>
              <w:rPr>
                <w:rFonts w:hint="default" w:ascii="Times New Roman" w:hAnsi="Times New Roman" w:cs="Times New Roman"/>
                <w:color w:val="000000"/>
                <w:sz w:val="24"/>
              </w:rPr>
              <w:t>无新增儿童</w:t>
            </w:r>
          </w:p>
          <w:p>
            <w:pPr>
              <w:widowControl/>
              <w:jc w:val="center"/>
              <w:textAlignment w:val="top"/>
              <w:rPr>
                <w:rFonts w:hint="default" w:ascii="Times New Roman" w:hAnsi="Times New Roman" w:eastAsia="仿宋_GB2312" w:cs="Times New Roman"/>
                <w:color w:val="000000"/>
                <w:sz w:val="24"/>
              </w:rPr>
            </w:pPr>
            <w:r>
              <w:rPr>
                <w:rFonts w:hint="default" w:ascii="Times New Roman" w:hAnsi="Times New Roman" w:cs="Times New Roman"/>
                <w:color w:val="000000"/>
                <w:sz w:val="24"/>
              </w:rPr>
              <w:t>病例</w:t>
            </w:r>
          </w:p>
        </w:tc>
        <w:tc>
          <w:tcPr>
            <w:tcW w:w="2136" w:type="dxa"/>
            <w:tcBorders>
              <w:top w:val="single" w:color="000000" w:sz="12" w:space="0"/>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cs="Times New Roman"/>
                <w:color w:val="000000"/>
                <w:sz w:val="24"/>
              </w:rPr>
            </w:pPr>
            <w:r>
              <w:rPr>
                <w:rFonts w:hint="default" w:ascii="Times New Roman" w:hAnsi="Times New Roman" w:cs="Times New Roman"/>
                <w:color w:val="000000"/>
                <w:sz w:val="24"/>
              </w:rPr>
              <w:t>无新增病例</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64" w:hRule="atLeast"/>
          <w:jc w:val="center"/>
        </w:trPr>
        <w:tc>
          <w:tcPr>
            <w:tcW w:w="3384" w:type="dxa"/>
            <w:gridSpan w:val="2"/>
            <w:tcBorders>
              <w:top w:val="nil"/>
              <w:left w:val="nil"/>
              <w:bottom w:val="nil"/>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cs="Times New Roman"/>
                <w:color w:val="000000"/>
                <w:sz w:val="24"/>
              </w:rPr>
            </w:pPr>
            <w:r>
              <w:rPr>
                <w:rFonts w:hint="default" w:ascii="Times New Roman" w:hAnsi="Times New Roman" w:cs="Times New Roman"/>
                <w:color w:val="000000"/>
                <w:sz w:val="24"/>
              </w:rPr>
              <w:t>犬棘球绦虫感染率</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5%</w:t>
            </w:r>
          </w:p>
        </w:tc>
        <w:tc>
          <w:tcPr>
            <w:tcW w:w="2134"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1%</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0.1%</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0</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64" w:hRule="atLeast"/>
          <w:jc w:val="center"/>
        </w:trPr>
        <w:tc>
          <w:tcPr>
            <w:tcW w:w="3384" w:type="dxa"/>
            <w:gridSpan w:val="2"/>
            <w:tcBorders>
              <w:top w:val="nil"/>
              <w:left w:val="nil"/>
              <w:bottom w:val="nil"/>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eastAsia="仿宋_GB2312" w:cs="Times New Roman"/>
                <w:color w:val="000000"/>
                <w:sz w:val="24"/>
              </w:rPr>
            </w:pPr>
            <w:r>
              <w:rPr>
                <w:rFonts w:hint="default" w:ascii="Times New Roman" w:hAnsi="Times New Roman" w:cs="Times New Roman"/>
                <w:color w:val="000000"/>
                <w:sz w:val="24"/>
              </w:rPr>
              <w:t>牲畜包虫病患病率</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8%</w:t>
            </w:r>
          </w:p>
        </w:tc>
        <w:tc>
          <w:tcPr>
            <w:tcW w:w="2134"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5%</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3%</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0</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3384" w:type="dxa"/>
            <w:gridSpan w:val="2"/>
            <w:tcBorders>
              <w:top w:val="nil"/>
              <w:left w:val="nil"/>
              <w:bottom w:val="nil"/>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eastAsia="仿宋_GB2312" w:cs="Times New Roman"/>
                <w:color w:val="000000"/>
                <w:sz w:val="24"/>
              </w:rPr>
            </w:pPr>
            <w:r>
              <w:rPr>
                <w:rFonts w:hint="default" w:ascii="Times New Roman" w:hAnsi="Times New Roman" w:cs="Times New Roman"/>
                <w:color w:val="000000"/>
                <w:sz w:val="24"/>
              </w:rPr>
              <w:t>啮齿类动物包虫病患病率</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3%</w:t>
            </w:r>
          </w:p>
        </w:tc>
        <w:tc>
          <w:tcPr>
            <w:tcW w:w="2134"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1%</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0.5%</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w:t>
            </w:r>
            <w:r>
              <w:rPr>
                <w:rStyle w:val="7"/>
                <w:rFonts w:hint="default" w:ascii="Times New Roman" w:hAnsi="Times New Roman" w:eastAsia="宋体" w:cs="Times New Roman"/>
              </w:rPr>
              <w:t>0.1%</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jc w:val="center"/>
        </w:trPr>
        <w:tc>
          <w:tcPr>
            <w:tcW w:w="3384" w:type="dxa"/>
            <w:gridSpan w:val="2"/>
            <w:tcBorders>
              <w:top w:val="nil"/>
              <w:left w:val="nil"/>
              <w:bottom w:val="nil"/>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eastAsia="仿宋_GB2312" w:cs="Times New Roman"/>
                <w:color w:val="000000"/>
                <w:sz w:val="24"/>
              </w:rPr>
            </w:pPr>
            <w:r>
              <w:rPr>
                <w:rFonts w:hint="default" w:ascii="Times New Roman" w:hAnsi="Times New Roman" w:cs="Times New Roman"/>
                <w:color w:val="000000"/>
                <w:sz w:val="24"/>
              </w:rPr>
              <w:t>包虫病防治的档案资料</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保存完整</w:t>
            </w:r>
          </w:p>
        </w:tc>
        <w:tc>
          <w:tcPr>
            <w:tcW w:w="2134"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保存完整</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保存完整</w:t>
            </w:r>
          </w:p>
        </w:tc>
        <w:tc>
          <w:tcPr>
            <w:tcW w:w="2136" w:type="dxa"/>
            <w:tcBorders>
              <w:top w:val="nil"/>
              <w:left w:val="nil"/>
              <w:bottom w:val="nil"/>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Style w:val="6"/>
                <w:rFonts w:hint="default" w:ascii="Times New Roman" w:hAnsi="Times New Roman" w:cs="Times New Roman"/>
              </w:rPr>
              <w:t>保存完整</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jc w:val="center"/>
        </w:trPr>
        <w:tc>
          <w:tcPr>
            <w:tcW w:w="3384" w:type="dxa"/>
            <w:gridSpan w:val="2"/>
            <w:tcBorders>
              <w:top w:val="nil"/>
              <w:left w:val="nil"/>
              <w:bottom w:val="single" w:color="000000" w:sz="12" w:space="0"/>
              <w:right w:val="nil"/>
            </w:tcBorders>
            <w:noWrap w:val="0"/>
            <w:tcMar>
              <w:top w:w="12" w:type="dxa"/>
              <w:left w:w="12" w:type="dxa"/>
              <w:bottom w:w="0" w:type="dxa"/>
              <w:right w:w="12" w:type="dxa"/>
            </w:tcMar>
            <w:vAlign w:val="center"/>
          </w:tcPr>
          <w:p>
            <w:pPr>
              <w:widowControl/>
              <w:ind w:firstLine="480" w:firstLineChars="200"/>
              <w:jc w:val="left"/>
              <w:textAlignment w:val="top"/>
              <w:rPr>
                <w:rFonts w:hint="default" w:ascii="Times New Roman" w:hAnsi="Times New Roman" w:eastAsia="仿宋_GB2312" w:cs="Times New Roman"/>
                <w:color w:val="000000"/>
                <w:sz w:val="24"/>
              </w:rPr>
            </w:pPr>
            <w:r>
              <w:rPr>
                <w:rFonts w:hint="default" w:ascii="Times New Roman" w:hAnsi="Times New Roman" w:cs="Times New Roman"/>
                <w:color w:val="000000"/>
                <w:sz w:val="24"/>
              </w:rPr>
              <w:t>连续达到上述目标年数</w:t>
            </w:r>
          </w:p>
        </w:tc>
        <w:tc>
          <w:tcPr>
            <w:tcW w:w="2136" w:type="dxa"/>
            <w:tcBorders>
              <w:top w:val="nil"/>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2</w:t>
            </w:r>
          </w:p>
        </w:tc>
        <w:tc>
          <w:tcPr>
            <w:tcW w:w="2134" w:type="dxa"/>
            <w:tcBorders>
              <w:top w:val="nil"/>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3</w:t>
            </w:r>
          </w:p>
        </w:tc>
        <w:tc>
          <w:tcPr>
            <w:tcW w:w="2136" w:type="dxa"/>
            <w:tcBorders>
              <w:top w:val="nil"/>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5</w:t>
            </w:r>
          </w:p>
        </w:tc>
        <w:tc>
          <w:tcPr>
            <w:tcW w:w="2136" w:type="dxa"/>
            <w:tcBorders>
              <w:top w:val="nil"/>
              <w:left w:val="nil"/>
              <w:bottom w:val="single" w:color="000000" w:sz="12" w:space="0"/>
              <w:right w:val="nil"/>
            </w:tcBorders>
            <w:noWrap w:val="0"/>
            <w:tcMar>
              <w:top w:w="12" w:type="dxa"/>
              <w:left w:w="12" w:type="dxa"/>
              <w:bottom w:w="0" w:type="dxa"/>
              <w:right w:w="12" w:type="dxa"/>
            </w:tcMar>
            <w:vAlign w:val="center"/>
          </w:tcPr>
          <w:p>
            <w:pPr>
              <w:widowControl/>
              <w:jc w:val="center"/>
              <w:textAlignment w:val="top"/>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5</w:t>
            </w:r>
          </w:p>
        </w:tc>
      </w:tr>
    </w:tbl>
    <w:p>
      <w:pPr>
        <w:ind w:firstLine="1680" w:firstLineChars="700"/>
        <w:rPr>
          <w:rFonts w:hint="default" w:ascii="Times New Roman" w:hAnsi="Times New Roman" w:eastAsia="仿宋_GB2312" w:cs="Times New Roman"/>
          <w:color w:val="000000"/>
          <w:sz w:val="24"/>
        </w:rPr>
      </w:pPr>
      <w:r>
        <w:rPr>
          <w:rFonts w:hint="default" w:ascii="Times New Roman" w:hAnsi="Times New Roman" w:cs="Times New Roman"/>
          <w:sz w:val="24"/>
        </w:rPr>
        <w:t>注：</w:t>
      </w:r>
      <w:r>
        <w:rPr>
          <w:rFonts w:hint="default" w:ascii="Times New Roman" w:hAnsi="Times New Roman" w:cs="Times New Roman"/>
          <w:color w:val="000000"/>
          <w:sz w:val="24"/>
        </w:rPr>
        <w:t>儿童包虫病患病率以乡镇为单位计算，一个乡镇不达标，整个县市不达标。</w:t>
      </w:r>
    </w:p>
    <w:p>
      <w:pPr>
        <w:pStyle w:val="2"/>
        <w:jc w:val="both"/>
        <w:rPr>
          <w:rFonts w:hint="default" w:ascii="Times New Roman" w:hAnsi="Times New Roman" w:cs="Times New Roman"/>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p>
    <w:p>
      <w:pPr>
        <w:pStyle w:val="3"/>
        <w:autoSpaceDE w:val="0"/>
        <w:autoSpaceDN w:val="0"/>
        <w:spacing w:line="560" w:lineRule="exact"/>
        <w:rPr>
          <w:rFonts w:hint="default" w:ascii="Times New Roman" w:hAnsi="Times New Roman" w:eastAsia="黑体" w:cs="Times New Roman"/>
          <w:kern w:val="0"/>
          <w:sz w:val="32"/>
          <w:szCs w:val="32"/>
          <w:lang w:bidi="ar"/>
        </w:rPr>
      </w:pPr>
      <w:r>
        <w:rPr>
          <w:rFonts w:hint="default" w:ascii="Times New Roman" w:hAnsi="Times New Roman" w:eastAsia="黑体" w:cs="Times New Roman"/>
          <w:kern w:val="0"/>
          <w:sz w:val="32"/>
          <w:szCs w:val="32"/>
          <w:lang w:bidi="ar"/>
        </w:rPr>
        <w:t>附表</w:t>
      </w:r>
      <w:r>
        <w:rPr>
          <w:rFonts w:hint="default" w:ascii="Times New Roman" w:hAnsi="Times New Roman" w:eastAsia="黑体" w:cs="Times New Roman"/>
          <w:kern w:val="0"/>
          <w:sz w:val="32"/>
          <w:szCs w:val="32"/>
          <w:lang w:val="en-US" w:eastAsia="zh-CN" w:bidi="ar"/>
        </w:rPr>
        <w:t>4</w:t>
      </w:r>
    </w:p>
    <w:p>
      <w:pPr>
        <w:pStyle w:val="3"/>
        <w:autoSpaceDE w:val="0"/>
        <w:autoSpaceDN w:val="0"/>
        <w:spacing w:line="560" w:lineRule="exact"/>
        <w:jc w:val="center"/>
        <w:rPr>
          <w:rFonts w:hint="default" w:ascii="Times New Roman" w:hAnsi="Times New Roman" w:eastAsia="方正小标宋简体" w:cs="Times New Roman"/>
          <w:kern w:val="0"/>
          <w:sz w:val="44"/>
          <w:szCs w:val="44"/>
          <w:lang w:bidi="ar"/>
        </w:rPr>
      </w:pPr>
      <w:r>
        <w:rPr>
          <w:rFonts w:hint="default" w:ascii="Times New Roman" w:hAnsi="Times New Roman" w:eastAsia="方正小标宋简体" w:cs="Times New Roman"/>
          <w:kern w:val="0"/>
          <w:sz w:val="44"/>
          <w:szCs w:val="44"/>
          <w:lang w:eastAsia="zh-CN" w:bidi="ar"/>
        </w:rPr>
        <w:t>自治区</w:t>
      </w:r>
      <w:r>
        <w:rPr>
          <w:rFonts w:hint="default" w:ascii="Times New Roman" w:hAnsi="Times New Roman" w:eastAsia="方正小标宋简体" w:cs="Times New Roman"/>
          <w:kern w:val="0"/>
          <w:sz w:val="44"/>
          <w:szCs w:val="44"/>
          <w:lang w:bidi="ar"/>
        </w:rPr>
        <w:t>包虫病防治主要工作指标清单</w:t>
      </w:r>
    </w:p>
    <w:tbl>
      <w:tblPr>
        <w:tblStyle w:val="4"/>
        <w:tblW w:w="12366" w:type="dxa"/>
        <w:jc w:val="center"/>
        <w:tblLayout w:type="fixed"/>
        <w:tblCellMar>
          <w:top w:w="0" w:type="dxa"/>
          <w:left w:w="0" w:type="dxa"/>
          <w:bottom w:w="0" w:type="dxa"/>
          <w:right w:w="0" w:type="dxa"/>
        </w:tblCellMar>
      </w:tblPr>
      <w:tblGrid>
        <w:gridCol w:w="660"/>
        <w:gridCol w:w="3672"/>
        <w:gridCol w:w="4302"/>
        <w:gridCol w:w="283"/>
        <w:gridCol w:w="992"/>
        <w:gridCol w:w="142"/>
        <w:gridCol w:w="1134"/>
        <w:gridCol w:w="1181"/>
      </w:tblGrid>
      <w:tr>
        <w:tblPrEx>
          <w:tblCellMar>
            <w:top w:w="0" w:type="dxa"/>
            <w:left w:w="0" w:type="dxa"/>
            <w:bottom w:w="0" w:type="dxa"/>
            <w:right w:w="0" w:type="dxa"/>
          </w:tblCellMar>
        </w:tblPrEx>
        <w:trPr>
          <w:trHeight w:val="288" w:hRule="atLeast"/>
          <w:jc w:val="center"/>
        </w:trPr>
        <w:tc>
          <w:tcPr>
            <w:tcW w:w="660" w:type="dxa"/>
            <w:vMerge w:val="restart"/>
            <w:tcBorders>
              <w:top w:val="single" w:color="000000" w:sz="12" w:space="0"/>
              <w:left w:val="nil"/>
              <w:bottom w:val="nil"/>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cs="Times New Roman"/>
                <w:b/>
                <w:bCs/>
                <w:color w:val="000000"/>
                <w:kern w:val="0"/>
                <w:sz w:val="24"/>
              </w:rPr>
            </w:pPr>
            <w:r>
              <w:rPr>
                <w:rFonts w:hint="default" w:ascii="Times New Roman" w:hAnsi="Times New Roman" w:cs="Times New Roman"/>
                <w:b/>
                <w:bCs/>
                <w:color w:val="000000"/>
                <w:sz w:val="24"/>
              </w:rPr>
              <w:t>序号</w:t>
            </w:r>
          </w:p>
        </w:tc>
        <w:tc>
          <w:tcPr>
            <w:tcW w:w="3672" w:type="dxa"/>
            <w:vMerge w:val="restart"/>
            <w:tcBorders>
              <w:top w:val="single" w:color="000000" w:sz="12" w:space="0"/>
              <w:left w:val="nil"/>
              <w:bottom w:val="nil"/>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cs="Times New Roman"/>
                <w:b/>
                <w:bCs/>
                <w:color w:val="000000"/>
                <w:sz w:val="24"/>
              </w:rPr>
            </w:pPr>
            <w:r>
              <w:rPr>
                <w:rFonts w:hint="default" w:ascii="Times New Roman" w:hAnsi="Times New Roman" w:cs="Times New Roman"/>
                <w:b/>
                <w:bCs/>
                <w:color w:val="000000"/>
                <w:sz w:val="24"/>
              </w:rPr>
              <w:t>指标</w:t>
            </w:r>
          </w:p>
        </w:tc>
        <w:tc>
          <w:tcPr>
            <w:tcW w:w="4585" w:type="dxa"/>
            <w:gridSpan w:val="2"/>
            <w:tcBorders>
              <w:top w:val="single" w:color="000000" w:sz="12" w:space="0"/>
              <w:left w:val="nil"/>
              <w:bottom w:val="nil"/>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cs="Times New Roman"/>
                <w:b/>
                <w:bCs/>
                <w:color w:val="000000"/>
                <w:sz w:val="24"/>
              </w:rPr>
            </w:pPr>
            <w:r>
              <w:rPr>
                <w:rFonts w:hint="default" w:ascii="Times New Roman" w:hAnsi="Times New Roman" w:cs="Times New Roman"/>
                <w:b/>
                <w:bCs/>
                <w:color w:val="000000"/>
                <w:sz w:val="24"/>
              </w:rPr>
              <w:t>定义</w:t>
            </w:r>
          </w:p>
        </w:tc>
        <w:tc>
          <w:tcPr>
            <w:tcW w:w="3449" w:type="dxa"/>
            <w:gridSpan w:val="4"/>
            <w:tcBorders>
              <w:top w:val="single" w:color="000000" w:sz="12" w:space="0"/>
              <w:left w:val="nil"/>
              <w:bottom w:val="single" w:color="000000" w:sz="4" w:space="0"/>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目标要求</w:t>
            </w:r>
          </w:p>
        </w:tc>
      </w:tr>
      <w:tr>
        <w:tblPrEx>
          <w:tblCellMar>
            <w:top w:w="0" w:type="dxa"/>
            <w:left w:w="0" w:type="dxa"/>
            <w:bottom w:w="0" w:type="dxa"/>
            <w:right w:w="0" w:type="dxa"/>
          </w:tblCellMar>
        </w:tblPrEx>
        <w:trPr>
          <w:trHeight w:val="312" w:hRule="atLeast"/>
          <w:jc w:val="center"/>
        </w:trPr>
        <w:tc>
          <w:tcPr>
            <w:tcW w:w="660" w:type="dxa"/>
            <w:vMerge w:val="continue"/>
            <w:tcBorders>
              <w:top w:val="single" w:color="000000" w:sz="12" w:space="0"/>
              <w:left w:val="nil"/>
              <w:bottom w:val="nil"/>
              <w:right w:val="nil"/>
            </w:tcBorders>
            <w:noWrap w:val="0"/>
            <w:vAlign w:val="center"/>
          </w:tcPr>
          <w:p>
            <w:pPr>
              <w:widowControl/>
              <w:rPr>
                <w:rFonts w:hint="default" w:ascii="Times New Roman" w:hAnsi="Times New Roman" w:eastAsia="仿宋_GB2312" w:cs="Times New Roman"/>
                <w:b/>
                <w:bCs/>
                <w:color w:val="000000"/>
                <w:sz w:val="24"/>
              </w:rPr>
            </w:pPr>
          </w:p>
        </w:tc>
        <w:tc>
          <w:tcPr>
            <w:tcW w:w="3672" w:type="dxa"/>
            <w:vMerge w:val="continue"/>
            <w:tcBorders>
              <w:top w:val="single" w:color="000000" w:sz="12" w:space="0"/>
              <w:left w:val="nil"/>
              <w:bottom w:val="nil"/>
              <w:right w:val="nil"/>
            </w:tcBorders>
            <w:noWrap w:val="0"/>
            <w:vAlign w:val="center"/>
          </w:tcPr>
          <w:p>
            <w:pPr>
              <w:widowControl/>
              <w:rPr>
                <w:rFonts w:hint="default" w:ascii="Times New Roman" w:hAnsi="Times New Roman" w:eastAsia="仿宋_GB2312" w:cs="Times New Roman"/>
                <w:b/>
                <w:bCs/>
                <w:color w:val="000000"/>
                <w:sz w:val="24"/>
              </w:rPr>
            </w:pPr>
          </w:p>
        </w:tc>
        <w:tc>
          <w:tcPr>
            <w:tcW w:w="4302" w:type="dxa"/>
            <w:tcBorders>
              <w:top w:val="single" w:color="000000" w:sz="12" w:space="0"/>
              <w:left w:val="nil"/>
              <w:bottom w:val="nil"/>
              <w:right w:val="nil"/>
            </w:tcBorders>
            <w:noWrap w:val="0"/>
            <w:vAlign w:val="center"/>
          </w:tcPr>
          <w:p>
            <w:pPr>
              <w:widowControl/>
              <w:rPr>
                <w:rFonts w:hint="default" w:ascii="Times New Roman" w:hAnsi="Times New Roman" w:eastAsia="仿宋_GB2312" w:cs="Times New Roman"/>
                <w:b/>
                <w:bCs/>
                <w:color w:val="000000"/>
                <w:sz w:val="24"/>
              </w:rPr>
            </w:pPr>
          </w:p>
        </w:tc>
        <w:tc>
          <w:tcPr>
            <w:tcW w:w="1417" w:type="dxa"/>
            <w:gridSpan w:val="3"/>
            <w:tcBorders>
              <w:top w:val="single" w:color="000000" w:sz="4" w:space="0"/>
              <w:left w:val="nil"/>
              <w:bottom w:val="single" w:color="000000" w:sz="12" w:space="0"/>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2025</w:t>
            </w:r>
            <w:r>
              <w:rPr>
                <w:rFonts w:hint="default" w:ascii="Times New Roman" w:hAnsi="Times New Roman" w:cs="Times New Roman"/>
                <w:b/>
                <w:bCs/>
                <w:color w:val="000000"/>
                <w:sz w:val="24"/>
              </w:rPr>
              <w:t>年</w:t>
            </w:r>
          </w:p>
        </w:tc>
        <w:tc>
          <w:tcPr>
            <w:tcW w:w="1134" w:type="dxa"/>
            <w:tcBorders>
              <w:top w:val="single" w:color="000000" w:sz="4" w:space="0"/>
              <w:left w:val="nil"/>
              <w:bottom w:val="single" w:color="000000" w:sz="12" w:space="0"/>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2027</w:t>
            </w:r>
            <w:r>
              <w:rPr>
                <w:rFonts w:hint="default" w:ascii="Times New Roman" w:hAnsi="Times New Roman" w:cs="Times New Roman"/>
                <w:b/>
                <w:bCs/>
                <w:color w:val="000000"/>
                <w:sz w:val="24"/>
              </w:rPr>
              <w:t>年</w:t>
            </w:r>
          </w:p>
        </w:tc>
        <w:tc>
          <w:tcPr>
            <w:tcW w:w="1181" w:type="dxa"/>
            <w:tcBorders>
              <w:top w:val="single" w:color="000000" w:sz="4" w:space="0"/>
              <w:left w:val="nil"/>
              <w:bottom w:val="single" w:color="000000" w:sz="12" w:space="0"/>
              <w:right w:val="nil"/>
            </w:tcBorders>
            <w:noWrap/>
            <w:tcMar>
              <w:top w:w="12" w:type="dxa"/>
              <w:left w:w="12" w:type="dxa"/>
              <w:bottom w:w="0" w:type="dxa"/>
              <w:right w:w="12" w:type="dxa"/>
            </w:tcMar>
            <w:vAlign w:val="center"/>
          </w:tcPr>
          <w:p>
            <w:pPr>
              <w:widowControl/>
              <w:jc w:val="center"/>
              <w:textAlignment w:val="center"/>
              <w:rPr>
                <w:rFonts w:hint="default" w:ascii="Times New Roman" w:hAnsi="Times New Roman" w:eastAsia="宋体" w:cs="Times New Roman"/>
                <w:b/>
                <w:bCs/>
                <w:color w:val="000000"/>
                <w:sz w:val="24"/>
              </w:rPr>
            </w:pPr>
            <w:r>
              <w:rPr>
                <w:rFonts w:hint="default" w:ascii="Times New Roman" w:hAnsi="Times New Roman" w:eastAsia="宋体" w:cs="Times New Roman"/>
                <w:b/>
                <w:bCs/>
                <w:color w:val="000000"/>
                <w:sz w:val="24"/>
              </w:rPr>
              <w:t>2030</w:t>
            </w:r>
            <w:r>
              <w:rPr>
                <w:rFonts w:hint="default" w:ascii="Times New Roman" w:hAnsi="Times New Roman" w:cs="Times New Roman"/>
                <w:b/>
                <w:bCs/>
                <w:color w:val="000000"/>
                <w:sz w:val="24"/>
              </w:rPr>
              <w:t>年</w:t>
            </w:r>
          </w:p>
        </w:tc>
      </w:tr>
      <w:tr>
        <w:tblPrEx>
          <w:tblCellMar>
            <w:top w:w="0" w:type="dxa"/>
            <w:left w:w="0" w:type="dxa"/>
            <w:bottom w:w="0" w:type="dxa"/>
            <w:right w:w="0" w:type="dxa"/>
          </w:tblCellMar>
        </w:tblPrEx>
        <w:trPr>
          <w:trHeight w:val="1248" w:hRule="atLeast"/>
          <w:jc w:val="center"/>
        </w:trPr>
        <w:tc>
          <w:tcPr>
            <w:tcW w:w="660" w:type="dxa"/>
            <w:tcBorders>
              <w:top w:val="single" w:color="000000" w:sz="12" w:space="0"/>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1</w:t>
            </w:r>
          </w:p>
        </w:tc>
        <w:tc>
          <w:tcPr>
            <w:tcW w:w="3672" w:type="dxa"/>
            <w:tcBorders>
              <w:top w:val="single" w:color="000000" w:sz="12" w:space="0"/>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患者规范管理率</w:t>
            </w:r>
          </w:p>
        </w:tc>
        <w:tc>
          <w:tcPr>
            <w:tcW w:w="4302" w:type="dxa"/>
            <w:tcBorders>
              <w:top w:val="single" w:color="000000" w:sz="12" w:space="0"/>
              <w:left w:val="nil"/>
              <w:bottom w:val="nil"/>
              <w:right w:val="nil"/>
            </w:tcBorders>
            <w:noWrap w:val="0"/>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疾控机构对所有报告的确诊病例、临床诊断病例建立病例管理档案，按要求完成定期随访并记录;进一步加强药物治疗和肝肾功能检查工作</w:t>
            </w:r>
          </w:p>
        </w:tc>
        <w:tc>
          <w:tcPr>
            <w:tcW w:w="1275" w:type="dxa"/>
            <w:gridSpan w:val="2"/>
            <w:tcBorders>
              <w:top w:val="single" w:color="000000" w:sz="12" w:space="0"/>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≥80%</w:t>
            </w:r>
          </w:p>
        </w:tc>
        <w:tc>
          <w:tcPr>
            <w:tcW w:w="1276" w:type="dxa"/>
            <w:gridSpan w:val="2"/>
            <w:tcBorders>
              <w:top w:val="single" w:color="000000" w:sz="12" w:space="0"/>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≥85%</w:t>
            </w:r>
          </w:p>
        </w:tc>
        <w:tc>
          <w:tcPr>
            <w:tcW w:w="1181" w:type="dxa"/>
            <w:tcBorders>
              <w:top w:val="single" w:color="000000" w:sz="12" w:space="0"/>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w:t>
            </w:r>
          </w:p>
        </w:tc>
      </w:tr>
      <w:tr>
        <w:tblPrEx>
          <w:tblCellMar>
            <w:top w:w="0" w:type="dxa"/>
            <w:left w:w="0" w:type="dxa"/>
            <w:bottom w:w="0" w:type="dxa"/>
            <w:right w:w="0" w:type="dxa"/>
          </w:tblCellMar>
        </w:tblPrEx>
        <w:trPr>
          <w:trHeight w:val="312" w:hRule="atLeast"/>
          <w:jc w:val="center"/>
        </w:trPr>
        <w:tc>
          <w:tcPr>
            <w:tcW w:w="660" w:type="dxa"/>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2</w:t>
            </w:r>
          </w:p>
        </w:tc>
        <w:tc>
          <w:tcPr>
            <w:tcW w:w="3672" w:type="dxa"/>
            <w:tcBorders>
              <w:top w:val="nil"/>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家犬驱虫率</w:t>
            </w:r>
          </w:p>
        </w:tc>
        <w:tc>
          <w:tcPr>
            <w:tcW w:w="4302" w:type="dxa"/>
            <w:tcBorders>
              <w:top w:val="nil"/>
              <w:left w:val="nil"/>
              <w:bottom w:val="nil"/>
              <w:right w:val="nil"/>
            </w:tcBorders>
            <w:noWrap/>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规范驱虫的犬只数占登记犬只数的百分比</w:t>
            </w:r>
          </w:p>
        </w:tc>
        <w:tc>
          <w:tcPr>
            <w:tcW w:w="1275"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≥85%</w:t>
            </w:r>
          </w:p>
        </w:tc>
        <w:tc>
          <w:tcPr>
            <w:tcW w:w="1276"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w:t>
            </w:r>
          </w:p>
        </w:tc>
        <w:tc>
          <w:tcPr>
            <w:tcW w:w="1181" w:type="dxa"/>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r>
      <w:tr>
        <w:tblPrEx>
          <w:tblCellMar>
            <w:top w:w="0" w:type="dxa"/>
            <w:left w:w="0" w:type="dxa"/>
            <w:bottom w:w="0" w:type="dxa"/>
            <w:right w:w="0" w:type="dxa"/>
          </w:tblCellMar>
        </w:tblPrEx>
        <w:trPr>
          <w:trHeight w:val="936" w:hRule="atLeast"/>
          <w:jc w:val="center"/>
        </w:trPr>
        <w:tc>
          <w:tcPr>
            <w:tcW w:w="660" w:type="dxa"/>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3</w:t>
            </w:r>
          </w:p>
        </w:tc>
        <w:tc>
          <w:tcPr>
            <w:tcW w:w="3672" w:type="dxa"/>
            <w:tcBorders>
              <w:top w:val="nil"/>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小学生包虫病核心防治知识知晓率</w:t>
            </w:r>
          </w:p>
        </w:tc>
        <w:tc>
          <w:tcPr>
            <w:tcW w:w="4302" w:type="dxa"/>
            <w:tcBorders>
              <w:top w:val="nil"/>
              <w:left w:val="nil"/>
              <w:bottom w:val="nil"/>
              <w:right w:val="nil"/>
            </w:tcBorders>
            <w:noWrap w:val="0"/>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核心防治知识正确率 60%及以上即为知晓，知晓核心防治知识的小学生数占受调查的小学生数的百分比</w:t>
            </w:r>
          </w:p>
        </w:tc>
        <w:tc>
          <w:tcPr>
            <w:tcW w:w="1275"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w:t>
            </w:r>
          </w:p>
        </w:tc>
        <w:tc>
          <w:tcPr>
            <w:tcW w:w="1276"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c>
          <w:tcPr>
            <w:tcW w:w="1181" w:type="dxa"/>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≥98%</w:t>
            </w:r>
          </w:p>
        </w:tc>
      </w:tr>
      <w:tr>
        <w:tblPrEx>
          <w:tblCellMar>
            <w:top w:w="0" w:type="dxa"/>
            <w:left w:w="0" w:type="dxa"/>
            <w:bottom w:w="0" w:type="dxa"/>
            <w:right w:w="0" w:type="dxa"/>
          </w:tblCellMar>
        </w:tblPrEx>
        <w:trPr>
          <w:trHeight w:val="936" w:hRule="atLeast"/>
          <w:jc w:val="center"/>
        </w:trPr>
        <w:tc>
          <w:tcPr>
            <w:tcW w:w="660" w:type="dxa"/>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4</w:t>
            </w:r>
          </w:p>
        </w:tc>
        <w:tc>
          <w:tcPr>
            <w:tcW w:w="3672" w:type="dxa"/>
            <w:tcBorders>
              <w:top w:val="nil"/>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检出的患病脏器无害化处理率</w:t>
            </w:r>
          </w:p>
        </w:tc>
        <w:tc>
          <w:tcPr>
            <w:tcW w:w="4302" w:type="dxa"/>
            <w:tcBorders>
              <w:top w:val="nil"/>
              <w:left w:val="nil"/>
              <w:bottom w:val="nil"/>
              <w:right w:val="nil"/>
            </w:tcBorders>
            <w:noWrap w:val="0"/>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家畜动物棘球蚴病检查中，无害化处理的病变脏器数占发现的所有病变脏器数的百分比</w:t>
            </w:r>
          </w:p>
        </w:tc>
        <w:tc>
          <w:tcPr>
            <w:tcW w:w="1275"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w:t>
            </w:r>
          </w:p>
        </w:tc>
        <w:tc>
          <w:tcPr>
            <w:tcW w:w="1276"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w:t>
            </w:r>
          </w:p>
        </w:tc>
        <w:tc>
          <w:tcPr>
            <w:tcW w:w="1181" w:type="dxa"/>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w:t>
            </w:r>
          </w:p>
        </w:tc>
      </w:tr>
      <w:tr>
        <w:tblPrEx>
          <w:tblCellMar>
            <w:top w:w="0" w:type="dxa"/>
            <w:left w:w="0" w:type="dxa"/>
            <w:bottom w:w="0" w:type="dxa"/>
            <w:right w:w="0" w:type="dxa"/>
          </w:tblCellMar>
        </w:tblPrEx>
        <w:trPr>
          <w:trHeight w:val="312" w:hRule="atLeast"/>
          <w:jc w:val="center"/>
        </w:trPr>
        <w:tc>
          <w:tcPr>
            <w:tcW w:w="660" w:type="dxa"/>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5</w:t>
            </w:r>
          </w:p>
        </w:tc>
        <w:tc>
          <w:tcPr>
            <w:tcW w:w="3672" w:type="dxa"/>
            <w:tcBorders>
              <w:top w:val="nil"/>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家畜应免免疫密度</w:t>
            </w:r>
          </w:p>
        </w:tc>
        <w:tc>
          <w:tcPr>
            <w:tcW w:w="4302" w:type="dxa"/>
            <w:tcBorders>
              <w:top w:val="nil"/>
              <w:left w:val="nil"/>
              <w:bottom w:val="nil"/>
              <w:right w:val="nil"/>
            </w:tcBorders>
            <w:noWrap/>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免疫家畜数量占应免疫家畜数量百分比</w:t>
            </w:r>
          </w:p>
        </w:tc>
        <w:tc>
          <w:tcPr>
            <w:tcW w:w="1275"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c>
          <w:tcPr>
            <w:tcW w:w="1276" w:type="dxa"/>
            <w:gridSpan w:val="2"/>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c>
          <w:tcPr>
            <w:tcW w:w="1181" w:type="dxa"/>
            <w:tcBorders>
              <w:top w:val="nil"/>
              <w:left w:val="nil"/>
              <w:bottom w:val="nil"/>
              <w:right w:val="nil"/>
            </w:tcBorders>
            <w:noWrap w:val="0"/>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r>
      <w:tr>
        <w:tblPrEx>
          <w:tblCellMar>
            <w:top w:w="0" w:type="dxa"/>
            <w:left w:w="0" w:type="dxa"/>
            <w:bottom w:w="0" w:type="dxa"/>
            <w:right w:w="0" w:type="dxa"/>
          </w:tblCellMar>
        </w:tblPrEx>
        <w:trPr>
          <w:trHeight w:val="624" w:hRule="atLeast"/>
          <w:jc w:val="center"/>
        </w:trPr>
        <w:tc>
          <w:tcPr>
            <w:tcW w:w="660" w:type="dxa"/>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仿宋_GB2312" w:cs="Times New Roman"/>
                <w:color w:val="000000"/>
                <w:szCs w:val="21"/>
              </w:rPr>
            </w:pPr>
            <w:r>
              <w:rPr>
                <w:rFonts w:hint="default" w:ascii="Times New Roman" w:hAnsi="Times New Roman" w:cs="Times New Roman"/>
                <w:color w:val="000000"/>
                <w:szCs w:val="21"/>
              </w:rPr>
              <w:t>6</w:t>
            </w:r>
          </w:p>
        </w:tc>
        <w:tc>
          <w:tcPr>
            <w:tcW w:w="3672" w:type="dxa"/>
            <w:tcBorders>
              <w:top w:val="nil"/>
              <w:left w:val="nil"/>
              <w:bottom w:val="nil"/>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农村供水水质达标率</w:t>
            </w:r>
          </w:p>
        </w:tc>
        <w:tc>
          <w:tcPr>
            <w:tcW w:w="4302" w:type="dxa"/>
            <w:tcBorders>
              <w:top w:val="nil"/>
              <w:left w:val="nil"/>
              <w:bottom w:val="nil"/>
              <w:right w:val="nil"/>
            </w:tcBorders>
            <w:noWrap w:val="0"/>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农村供水水质达标人口占农村供水总人口的百分比</w:t>
            </w:r>
          </w:p>
        </w:tc>
        <w:tc>
          <w:tcPr>
            <w:tcW w:w="3732" w:type="dxa"/>
            <w:gridSpan w:val="5"/>
            <w:tcBorders>
              <w:top w:val="nil"/>
              <w:left w:val="nil"/>
              <w:bottom w:val="nil"/>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总体达到当地县城水平</w:t>
            </w:r>
          </w:p>
        </w:tc>
      </w:tr>
      <w:tr>
        <w:tblPrEx>
          <w:tblCellMar>
            <w:top w:w="0" w:type="dxa"/>
            <w:left w:w="0" w:type="dxa"/>
            <w:bottom w:w="0" w:type="dxa"/>
            <w:right w:w="0" w:type="dxa"/>
          </w:tblCellMar>
        </w:tblPrEx>
        <w:trPr>
          <w:trHeight w:val="624" w:hRule="atLeast"/>
          <w:jc w:val="center"/>
        </w:trPr>
        <w:tc>
          <w:tcPr>
            <w:tcW w:w="660" w:type="dxa"/>
            <w:tcBorders>
              <w:top w:val="nil"/>
              <w:left w:val="nil"/>
              <w:bottom w:val="single" w:color="000000" w:sz="12" w:space="0"/>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7</w:t>
            </w:r>
          </w:p>
        </w:tc>
        <w:tc>
          <w:tcPr>
            <w:tcW w:w="3672" w:type="dxa"/>
            <w:tcBorders>
              <w:top w:val="nil"/>
              <w:left w:val="nil"/>
              <w:bottom w:val="single" w:color="000000" w:sz="12" w:space="0"/>
              <w:right w:val="nil"/>
            </w:tcBorders>
            <w:noWrap/>
            <w:tcMar>
              <w:top w:w="12" w:type="dxa"/>
              <w:left w:w="12" w:type="dxa"/>
              <w:bottom w:w="0" w:type="dxa"/>
              <w:right w:w="12" w:type="dxa"/>
            </w:tcMar>
            <w:vAlign w:val="center"/>
          </w:tcPr>
          <w:p>
            <w:pPr>
              <w:widowControl/>
              <w:spacing w:before="202" w:beforeLines="6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监测点工作完成率</w:t>
            </w:r>
          </w:p>
        </w:tc>
        <w:tc>
          <w:tcPr>
            <w:tcW w:w="4302" w:type="dxa"/>
            <w:tcBorders>
              <w:top w:val="nil"/>
              <w:left w:val="nil"/>
              <w:bottom w:val="single" w:color="000000" w:sz="12" w:space="0"/>
              <w:right w:val="nil"/>
            </w:tcBorders>
            <w:noWrap w:val="0"/>
            <w:tcMar>
              <w:top w:w="12" w:type="dxa"/>
              <w:left w:w="12" w:type="dxa"/>
              <w:bottom w:w="0" w:type="dxa"/>
              <w:right w:w="12" w:type="dxa"/>
            </w:tcMar>
            <w:vAlign w:val="center"/>
          </w:tcPr>
          <w:p>
            <w:pPr>
              <w:widowControl/>
              <w:spacing w:before="171" w:beforeLines="55"/>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以省为单位监测任务实际完成点项数占应完成点项数的百分比</w:t>
            </w:r>
          </w:p>
        </w:tc>
        <w:tc>
          <w:tcPr>
            <w:tcW w:w="1275" w:type="dxa"/>
            <w:gridSpan w:val="2"/>
            <w:tcBorders>
              <w:top w:val="nil"/>
              <w:left w:val="nil"/>
              <w:bottom w:val="single" w:color="000000" w:sz="12" w:space="0"/>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≥90%</w:t>
            </w:r>
          </w:p>
        </w:tc>
        <w:tc>
          <w:tcPr>
            <w:tcW w:w="1276" w:type="dxa"/>
            <w:gridSpan w:val="2"/>
            <w:tcBorders>
              <w:top w:val="nil"/>
              <w:left w:val="nil"/>
              <w:bottom w:val="single" w:color="000000" w:sz="12" w:space="0"/>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c>
          <w:tcPr>
            <w:tcW w:w="1181" w:type="dxa"/>
            <w:tcBorders>
              <w:top w:val="nil"/>
              <w:left w:val="nil"/>
              <w:bottom w:val="single" w:color="000000" w:sz="12" w:space="0"/>
              <w:right w:val="nil"/>
            </w:tcBorders>
            <w:noWrap/>
            <w:tcMar>
              <w:top w:w="12" w:type="dxa"/>
              <w:left w:w="12" w:type="dxa"/>
              <w:bottom w:w="0" w:type="dxa"/>
              <w:right w:w="12" w:type="dxa"/>
            </w:tcMar>
            <w:vAlign w:val="center"/>
          </w:tcPr>
          <w:p>
            <w:pPr>
              <w:widowControl/>
              <w:spacing w:before="202" w:beforeLines="65"/>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≥95%</w:t>
            </w:r>
          </w:p>
        </w:tc>
      </w:tr>
    </w:tbl>
    <w:p>
      <w:pPr>
        <w:pStyle w:val="3"/>
        <w:autoSpaceDE w:val="0"/>
        <w:autoSpaceDN w:val="0"/>
        <w:spacing w:line="560" w:lineRule="exact"/>
        <w:rPr>
          <w:rFonts w:hint="default" w:ascii="Times New Roman" w:hAnsi="Times New Roman" w:cs="Times New Roman"/>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bookmarkStart w:id="1" w:name="_GoBack"/>
      <w:bookmarkEnd w:id="1"/>
      <w:r>
        <w:rPr>
          <w:rFonts w:hint="default" w:ascii="Times New Roman" w:hAnsi="Times New Roman" w:eastAsia="黑体" w:cs="Times New Roman"/>
          <w:sz w:val="32"/>
          <w:szCs w:val="32"/>
        </w:rPr>
        <w:t>附表</w:t>
      </w:r>
      <w:r>
        <w:rPr>
          <w:rFonts w:hint="default" w:ascii="Times New Roman" w:hAnsi="Times New Roman" w:eastAsia="黑体" w:cs="Times New Roman"/>
          <w:sz w:val="32"/>
          <w:szCs w:val="32"/>
          <w:lang w:val="en-US" w:eastAsia="zh-CN"/>
        </w:rPr>
        <w:t>5</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防止疟疾输入再传播主要工作指标清单</w:t>
      </w:r>
    </w:p>
    <w:tbl>
      <w:tblPr>
        <w:tblStyle w:val="4"/>
        <w:tblW w:w="13392" w:type="dxa"/>
        <w:jc w:val="center"/>
        <w:tblLayout w:type="fixed"/>
        <w:tblCellMar>
          <w:top w:w="0" w:type="dxa"/>
          <w:left w:w="0" w:type="dxa"/>
          <w:bottom w:w="0" w:type="dxa"/>
          <w:right w:w="0" w:type="dxa"/>
        </w:tblCellMar>
      </w:tblPr>
      <w:tblGrid>
        <w:gridCol w:w="1253"/>
        <w:gridCol w:w="729"/>
        <w:gridCol w:w="3181"/>
        <w:gridCol w:w="4077"/>
        <w:gridCol w:w="1251"/>
        <w:gridCol w:w="949"/>
        <w:gridCol w:w="1038"/>
        <w:gridCol w:w="914"/>
      </w:tblGrid>
      <w:tr>
        <w:tblPrEx>
          <w:tblCellMar>
            <w:top w:w="0" w:type="dxa"/>
            <w:left w:w="0" w:type="dxa"/>
            <w:bottom w:w="0" w:type="dxa"/>
            <w:right w:w="0" w:type="dxa"/>
          </w:tblCellMar>
        </w:tblPrEx>
        <w:trPr>
          <w:trHeight w:val="301" w:hRule="atLeast"/>
          <w:jc w:val="center"/>
        </w:trPr>
        <w:tc>
          <w:tcPr>
            <w:tcW w:w="1253" w:type="dxa"/>
            <w:vMerge w:val="restart"/>
            <w:tcBorders>
              <w:top w:val="single" w:color="000000" w:sz="12" w:space="0"/>
              <w:left w:val="nil"/>
              <w:bottom w:val="single" w:color="000000" w:sz="12" w:space="0"/>
              <w:right w:val="nil"/>
            </w:tcBorders>
            <w:noWrap w:val="0"/>
            <w:vAlign w:val="center"/>
          </w:tcPr>
          <w:p>
            <w:pPr>
              <w:pStyle w:val="8"/>
              <w:spacing w:before="162" w:line="240" w:lineRule="exact"/>
              <w:ind w:left="396"/>
              <w:jc w:val="left"/>
              <w:rPr>
                <w:rFonts w:hint="default" w:ascii="Times New Roman" w:hAnsi="Times New Roman" w:cs="Times New Roman"/>
                <w:b/>
                <w:sz w:val="24"/>
                <w:szCs w:val="24"/>
              </w:rPr>
            </w:pPr>
            <w:r>
              <w:rPr>
                <w:rFonts w:hint="default" w:ascii="Times New Roman" w:hAnsi="Times New Roman" w:cs="Times New Roman"/>
                <w:b/>
                <w:sz w:val="24"/>
                <w:szCs w:val="24"/>
              </w:rPr>
              <w:t>类别</w:t>
            </w:r>
          </w:p>
        </w:tc>
        <w:tc>
          <w:tcPr>
            <w:tcW w:w="729" w:type="dxa"/>
            <w:vMerge w:val="restart"/>
            <w:tcBorders>
              <w:top w:val="single" w:color="000000" w:sz="12" w:space="0"/>
              <w:left w:val="nil"/>
              <w:bottom w:val="single" w:color="000000" w:sz="12" w:space="0"/>
              <w:right w:val="nil"/>
            </w:tcBorders>
            <w:noWrap w:val="0"/>
            <w:vAlign w:val="center"/>
          </w:tcPr>
          <w:p>
            <w:pPr>
              <w:pStyle w:val="8"/>
              <w:spacing w:before="162" w:line="240" w:lineRule="exact"/>
              <w:ind w:left="134"/>
              <w:jc w:val="left"/>
              <w:rPr>
                <w:rFonts w:hint="default" w:ascii="Times New Roman" w:hAnsi="Times New Roman" w:cs="Times New Roman"/>
                <w:b/>
                <w:sz w:val="24"/>
                <w:szCs w:val="24"/>
              </w:rPr>
            </w:pPr>
            <w:r>
              <w:rPr>
                <w:rFonts w:hint="default" w:ascii="Times New Roman" w:hAnsi="Times New Roman" w:cs="Times New Roman"/>
                <w:b/>
                <w:sz w:val="24"/>
                <w:szCs w:val="24"/>
              </w:rPr>
              <w:t>序号</w:t>
            </w:r>
          </w:p>
        </w:tc>
        <w:tc>
          <w:tcPr>
            <w:tcW w:w="3181" w:type="dxa"/>
            <w:vMerge w:val="restart"/>
            <w:tcBorders>
              <w:top w:val="single" w:color="000000" w:sz="12" w:space="0"/>
              <w:left w:val="nil"/>
              <w:bottom w:val="single" w:color="000000" w:sz="12" w:space="0"/>
              <w:right w:val="nil"/>
            </w:tcBorders>
            <w:noWrap w:val="0"/>
            <w:vAlign w:val="center"/>
          </w:tcPr>
          <w:p>
            <w:pPr>
              <w:pStyle w:val="8"/>
              <w:spacing w:before="162" w:line="240" w:lineRule="exact"/>
              <w:ind w:left="1371" w:right="1287"/>
              <w:rPr>
                <w:rFonts w:hint="default" w:ascii="Times New Roman" w:hAnsi="Times New Roman" w:cs="Times New Roman"/>
                <w:b/>
                <w:sz w:val="24"/>
                <w:szCs w:val="24"/>
              </w:rPr>
            </w:pPr>
            <w:r>
              <w:rPr>
                <w:rFonts w:hint="default" w:ascii="Times New Roman" w:hAnsi="Times New Roman" w:cs="Times New Roman"/>
                <w:b/>
                <w:sz w:val="24"/>
                <w:szCs w:val="24"/>
              </w:rPr>
              <w:t>指标</w:t>
            </w:r>
          </w:p>
        </w:tc>
        <w:tc>
          <w:tcPr>
            <w:tcW w:w="4077" w:type="dxa"/>
            <w:vMerge w:val="restart"/>
            <w:tcBorders>
              <w:top w:val="single" w:color="000000" w:sz="12" w:space="0"/>
              <w:left w:val="nil"/>
              <w:bottom w:val="single" w:color="000000" w:sz="12" w:space="0"/>
              <w:right w:val="nil"/>
            </w:tcBorders>
            <w:noWrap w:val="0"/>
            <w:vAlign w:val="center"/>
          </w:tcPr>
          <w:p>
            <w:pPr>
              <w:pStyle w:val="8"/>
              <w:spacing w:before="162" w:line="240" w:lineRule="exact"/>
              <w:ind w:left="1805" w:right="1749"/>
              <w:rPr>
                <w:rFonts w:hint="default" w:ascii="Times New Roman" w:hAnsi="Times New Roman" w:cs="Times New Roman"/>
                <w:b/>
                <w:sz w:val="24"/>
                <w:szCs w:val="24"/>
              </w:rPr>
            </w:pPr>
            <w:r>
              <w:rPr>
                <w:rFonts w:hint="default" w:ascii="Times New Roman" w:hAnsi="Times New Roman" w:cs="Times New Roman"/>
                <w:b/>
                <w:sz w:val="24"/>
                <w:szCs w:val="24"/>
              </w:rPr>
              <w:t>定义</w:t>
            </w:r>
          </w:p>
        </w:tc>
        <w:tc>
          <w:tcPr>
            <w:tcW w:w="1251" w:type="dxa"/>
            <w:vMerge w:val="restart"/>
            <w:tcBorders>
              <w:top w:val="single" w:color="000000" w:sz="12" w:space="0"/>
              <w:left w:val="nil"/>
              <w:bottom w:val="single" w:color="000000" w:sz="12" w:space="0"/>
              <w:right w:val="nil"/>
            </w:tcBorders>
            <w:noWrap w:val="0"/>
            <w:vAlign w:val="center"/>
          </w:tcPr>
          <w:p>
            <w:pPr>
              <w:pStyle w:val="8"/>
              <w:spacing w:before="0" w:after="0" w:afterAutospacing="0" w:line="240" w:lineRule="exact"/>
              <w:rPr>
                <w:rFonts w:hint="default" w:ascii="Times New Roman" w:hAnsi="Times New Roman" w:cs="Times New Roman"/>
                <w:b/>
                <w:sz w:val="24"/>
                <w:szCs w:val="24"/>
              </w:rPr>
            </w:pPr>
            <w:r>
              <w:rPr>
                <w:rFonts w:hint="default" w:ascii="Times New Roman" w:hAnsi="Times New Roman" w:cs="Times New Roman"/>
                <w:b/>
                <w:sz w:val="24"/>
                <w:szCs w:val="24"/>
              </w:rPr>
              <w:t>2023 年</w:t>
            </w:r>
          </w:p>
          <w:p>
            <w:pPr>
              <w:pStyle w:val="8"/>
              <w:spacing w:before="0" w:after="0" w:afterAutospacing="0" w:line="240" w:lineRule="exact"/>
              <w:rPr>
                <w:rFonts w:hint="default" w:ascii="Times New Roman" w:hAnsi="Times New Roman" w:cs="Times New Roman"/>
                <w:b/>
                <w:sz w:val="24"/>
                <w:szCs w:val="24"/>
              </w:rPr>
            </w:pPr>
            <w:r>
              <w:rPr>
                <w:rFonts w:hint="default" w:ascii="Times New Roman" w:hAnsi="Times New Roman" w:cs="Times New Roman"/>
                <w:b/>
                <w:sz w:val="24"/>
                <w:szCs w:val="24"/>
              </w:rPr>
              <w:t>基线水平</w:t>
            </w:r>
          </w:p>
        </w:tc>
        <w:tc>
          <w:tcPr>
            <w:tcW w:w="2901" w:type="dxa"/>
            <w:gridSpan w:val="3"/>
            <w:tcBorders>
              <w:top w:val="single" w:color="000000" w:sz="12" w:space="0"/>
              <w:left w:val="nil"/>
              <w:bottom w:val="single" w:color="000000" w:sz="4" w:space="0"/>
              <w:right w:val="nil"/>
            </w:tcBorders>
            <w:noWrap w:val="0"/>
            <w:vAlign w:val="center"/>
          </w:tcPr>
          <w:p>
            <w:pPr>
              <w:pStyle w:val="8"/>
              <w:spacing w:before="0" w:line="240" w:lineRule="exact"/>
              <w:jc w:val="center"/>
              <w:rPr>
                <w:rFonts w:hint="default" w:ascii="Times New Roman" w:hAnsi="Times New Roman" w:cs="Times New Roman"/>
              </w:rPr>
            </w:pPr>
            <w:r>
              <w:rPr>
                <w:rFonts w:hint="default" w:ascii="Times New Roman" w:hAnsi="Times New Roman" w:cs="Times New Roman"/>
                <w:b/>
                <w:sz w:val="24"/>
                <w:szCs w:val="24"/>
              </w:rPr>
              <w:t>目标要求</w:t>
            </w:r>
          </w:p>
        </w:tc>
      </w:tr>
      <w:tr>
        <w:tblPrEx>
          <w:tblCellMar>
            <w:top w:w="0" w:type="dxa"/>
            <w:left w:w="0" w:type="dxa"/>
            <w:bottom w:w="0" w:type="dxa"/>
            <w:right w:w="0" w:type="dxa"/>
          </w:tblCellMar>
        </w:tblPrEx>
        <w:trPr>
          <w:trHeight w:val="301" w:hRule="atLeast"/>
          <w:jc w:val="center"/>
        </w:trPr>
        <w:tc>
          <w:tcPr>
            <w:tcW w:w="1253" w:type="dxa"/>
            <w:vMerge w:val="continue"/>
            <w:tcBorders>
              <w:top w:val="single" w:color="000000" w:sz="12" w:space="0"/>
              <w:left w:val="nil"/>
              <w:bottom w:val="single" w:color="000000" w:sz="12" w:space="0"/>
              <w:right w:val="nil"/>
            </w:tcBorders>
            <w:noWrap w:val="0"/>
            <w:vAlign w:val="center"/>
          </w:tcPr>
          <w:p>
            <w:pPr>
              <w:widowControl/>
              <w:spacing w:line="240" w:lineRule="exact"/>
              <w:rPr>
                <w:rFonts w:hint="default" w:ascii="Times New Roman" w:hAnsi="Times New Roman" w:eastAsia="仿宋_GB2312" w:cs="Times New Roman"/>
                <w:b/>
                <w:sz w:val="24"/>
              </w:rPr>
            </w:pPr>
          </w:p>
        </w:tc>
        <w:tc>
          <w:tcPr>
            <w:tcW w:w="729" w:type="dxa"/>
            <w:vMerge w:val="continue"/>
            <w:tcBorders>
              <w:top w:val="single" w:color="000000" w:sz="12" w:space="0"/>
              <w:left w:val="nil"/>
              <w:bottom w:val="single" w:color="000000" w:sz="12" w:space="0"/>
              <w:right w:val="nil"/>
            </w:tcBorders>
            <w:noWrap w:val="0"/>
            <w:vAlign w:val="center"/>
          </w:tcPr>
          <w:p>
            <w:pPr>
              <w:widowControl/>
              <w:spacing w:line="240" w:lineRule="exact"/>
              <w:rPr>
                <w:rFonts w:hint="default" w:ascii="Times New Roman" w:hAnsi="Times New Roman" w:eastAsia="仿宋_GB2312" w:cs="Times New Roman"/>
                <w:b/>
                <w:sz w:val="24"/>
              </w:rPr>
            </w:pPr>
          </w:p>
        </w:tc>
        <w:tc>
          <w:tcPr>
            <w:tcW w:w="3181" w:type="dxa"/>
            <w:vMerge w:val="continue"/>
            <w:tcBorders>
              <w:top w:val="single" w:color="000000" w:sz="12" w:space="0"/>
              <w:left w:val="nil"/>
              <w:bottom w:val="single" w:color="000000" w:sz="12" w:space="0"/>
              <w:right w:val="nil"/>
            </w:tcBorders>
            <w:noWrap w:val="0"/>
            <w:vAlign w:val="center"/>
          </w:tcPr>
          <w:p>
            <w:pPr>
              <w:widowControl/>
              <w:spacing w:line="240" w:lineRule="exact"/>
              <w:rPr>
                <w:rFonts w:hint="default" w:ascii="Times New Roman" w:hAnsi="Times New Roman" w:eastAsia="仿宋_GB2312" w:cs="Times New Roman"/>
                <w:b/>
                <w:sz w:val="24"/>
              </w:rPr>
            </w:pPr>
          </w:p>
        </w:tc>
        <w:tc>
          <w:tcPr>
            <w:tcW w:w="4077" w:type="dxa"/>
            <w:vMerge w:val="continue"/>
            <w:tcBorders>
              <w:top w:val="single" w:color="000000" w:sz="12" w:space="0"/>
              <w:left w:val="nil"/>
              <w:bottom w:val="single" w:color="000000" w:sz="12" w:space="0"/>
              <w:right w:val="nil"/>
            </w:tcBorders>
            <w:noWrap w:val="0"/>
            <w:vAlign w:val="center"/>
          </w:tcPr>
          <w:p>
            <w:pPr>
              <w:widowControl/>
              <w:spacing w:line="240" w:lineRule="exact"/>
              <w:rPr>
                <w:rFonts w:hint="default" w:ascii="Times New Roman" w:hAnsi="Times New Roman" w:eastAsia="仿宋_GB2312" w:cs="Times New Roman"/>
                <w:b/>
                <w:sz w:val="24"/>
              </w:rPr>
            </w:pPr>
          </w:p>
        </w:tc>
        <w:tc>
          <w:tcPr>
            <w:tcW w:w="1251" w:type="dxa"/>
            <w:vMerge w:val="continue"/>
            <w:tcBorders>
              <w:top w:val="single" w:color="000000" w:sz="12" w:space="0"/>
              <w:left w:val="nil"/>
              <w:bottom w:val="single" w:color="000000" w:sz="12" w:space="0"/>
              <w:right w:val="nil"/>
            </w:tcBorders>
            <w:noWrap w:val="0"/>
            <w:vAlign w:val="center"/>
          </w:tcPr>
          <w:p>
            <w:pPr>
              <w:widowControl/>
              <w:spacing w:line="240" w:lineRule="exact"/>
              <w:jc w:val="center"/>
              <w:rPr>
                <w:rFonts w:hint="default" w:ascii="Times New Roman" w:hAnsi="Times New Roman" w:eastAsia="仿宋_GB2312" w:cs="Times New Roman"/>
                <w:b/>
                <w:sz w:val="24"/>
              </w:rPr>
            </w:pPr>
          </w:p>
        </w:tc>
        <w:tc>
          <w:tcPr>
            <w:tcW w:w="949" w:type="dxa"/>
            <w:tcBorders>
              <w:top w:val="single" w:color="000000" w:sz="4" w:space="0"/>
              <w:left w:val="nil"/>
              <w:bottom w:val="single" w:color="000000" w:sz="12" w:space="0"/>
              <w:right w:val="nil"/>
            </w:tcBorders>
            <w:noWrap w:val="0"/>
            <w:vAlign w:val="center"/>
          </w:tcPr>
          <w:p>
            <w:pPr>
              <w:pStyle w:val="8"/>
              <w:spacing w:before="0" w:line="240" w:lineRule="exact"/>
              <w:ind w:right="153"/>
              <w:jc w:val="right"/>
              <w:rPr>
                <w:rFonts w:hint="default" w:ascii="Times New Roman" w:hAnsi="Times New Roman" w:cs="Times New Roman"/>
                <w:b/>
                <w:sz w:val="24"/>
                <w:szCs w:val="24"/>
              </w:rPr>
            </w:pPr>
            <w:r>
              <w:rPr>
                <w:rFonts w:hint="default" w:ascii="Times New Roman" w:hAnsi="Times New Roman" w:cs="Times New Roman"/>
                <w:b/>
                <w:sz w:val="24"/>
                <w:szCs w:val="24"/>
              </w:rPr>
              <w:t>2025年</w:t>
            </w:r>
          </w:p>
        </w:tc>
        <w:tc>
          <w:tcPr>
            <w:tcW w:w="1038" w:type="dxa"/>
            <w:tcBorders>
              <w:top w:val="single" w:color="000000" w:sz="4" w:space="0"/>
              <w:left w:val="nil"/>
              <w:bottom w:val="single" w:color="000000" w:sz="12" w:space="0"/>
              <w:right w:val="nil"/>
            </w:tcBorders>
            <w:noWrap w:val="0"/>
            <w:vAlign w:val="center"/>
          </w:tcPr>
          <w:p>
            <w:pPr>
              <w:pStyle w:val="8"/>
              <w:spacing w:before="0" w:line="240" w:lineRule="exact"/>
              <w:ind w:right="136"/>
              <w:jc w:val="right"/>
              <w:rPr>
                <w:rFonts w:hint="default" w:ascii="Times New Roman" w:hAnsi="Times New Roman" w:cs="Times New Roman"/>
                <w:b/>
                <w:sz w:val="24"/>
                <w:szCs w:val="24"/>
              </w:rPr>
            </w:pPr>
            <w:r>
              <w:rPr>
                <w:rFonts w:hint="default" w:ascii="Times New Roman" w:hAnsi="Times New Roman" w:cs="Times New Roman"/>
                <w:b/>
                <w:sz w:val="24"/>
                <w:szCs w:val="24"/>
              </w:rPr>
              <w:t>2027年</w:t>
            </w:r>
          </w:p>
        </w:tc>
        <w:tc>
          <w:tcPr>
            <w:tcW w:w="914" w:type="dxa"/>
            <w:tcBorders>
              <w:top w:val="single" w:color="000000" w:sz="4" w:space="0"/>
              <w:left w:val="nil"/>
              <w:bottom w:val="single" w:color="000000" w:sz="12" w:space="0"/>
              <w:right w:val="nil"/>
            </w:tcBorders>
            <w:noWrap w:val="0"/>
            <w:vAlign w:val="center"/>
          </w:tcPr>
          <w:p>
            <w:pPr>
              <w:pStyle w:val="8"/>
              <w:spacing w:before="0" w:line="240" w:lineRule="exact"/>
              <w:ind w:right="153"/>
              <w:jc w:val="right"/>
              <w:rPr>
                <w:rFonts w:hint="default" w:ascii="Times New Roman" w:hAnsi="Times New Roman" w:cs="Times New Roman"/>
                <w:b/>
                <w:sz w:val="24"/>
                <w:szCs w:val="24"/>
              </w:rPr>
            </w:pPr>
            <w:r>
              <w:rPr>
                <w:rFonts w:hint="default" w:ascii="Times New Roman" w:hAnsi="Times New Roman" w:cs="Times New Roman"/>
                <w:b/>
                <w:sz w:val="24"/>
                <w:szCs w:val="24"/>
              </w:rPr>
              <w:t>2030年</w:t>
            </w:r>
          </w:p>
        </w:tc>
      </w:tr>
      <w:tr>
        <w:tblPrEx>
          <w:tblCellMar>
            <w:top w:w="0" w:type="dxa"/>
            <w:left w:w="0" w:type="dxa"/>
            <w:bottom w:w="0" w:type="dxa"/>
            <w:right w:w="0" w:type="dxa"/>
          </w:tblCellMar>
        </w:tblPrEx>
        <w:trPr>
          <w:trHeight w:val="1245" w:hRule="atLeast"/>
          <w:jc w:val="center"/>
        </w:trPr>
        <w:tc>
          <w:tcPr>
            <w:tcW w:w="1253" w:type="dxa"/>
            <w:vMerge w:val="restart"/>
            <w:tcBorders>
              <w:top w:val="single" w:color="000000" w:sz="12" w:space="0"/>
              <w:left w:val="nil"/>
              <w:right w:val="nil"/>
            </w:tcBorders>
            <w:noWrap w:val="0"/>
            <w:vAlign w:val="center"/>
          </w:tcPr>
          <w:p>
            <w:pPr>
              <w:pStyle w:val="8"/>
              <w:spacing w:before="0" w:after="0" w:afterAutospacing="0" w:line="3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疟疾检测与诊断</w:t>
            </w:r>
          </w:p>
        </w:tc>
        <w:tc>
          <w:tcPr>
            <w:tcW w:w="729" w:type="dxa"/>
            <w:tcBorders>
              <w:top w:val="single" w:color="000000" w:sz="12" w:space="0"/>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w:t>
            </w:r>
          </w:p>
        </w:tc>
        <w:tc>
          <w:tcPr>
            <w:tcW w:w="3181" w:type="dxa"/>
            <w:tcBorders>
              <w:top w:val="single" w:color="000000" w:sz="12" w:space="0"/>
              <w:left w:val="nil"/>
              <w:right w:val="nil"/>
            </w:tcBorders>
            <w:noWrap w:val="0"/>
            <w:vAlign w:val="center"/>
          </w:tcPr>
          <w:p>
            <w:pPr>
              <w:pStyle w:val="8"/>
              <w:spacing w:before="0" w:after="0" w:afterAutospacing="0" w:line="340" w:lineRule="atLeast"/>
              <w:ind w:right="210" w:rightChars="100"/>
              <w:jc w:val="left"/>
              <w:rPr>
                <w:rFonts w:hint="default" w:ascii="Times New Roman" w:hAnsi="Times New Roman" w:cs="Times New Roman"/>
                <w:sz w:val="21"/>
                <w:szCs w:val="21"/>
              </w:rPr>
            </w:pPr>
            <w:r>
              <w:rPr>
                <w:rFonts w:hint="default" w:ascii="Times New Roman" w:hAnsi="Times New Roman" w:cs="Times New Roman"/>
                <w:sz w:val="21"/>
                <w:szCs w:val="21"/>
              </w:rPr>
              <w:t>以县（市、区）为单位，具备疟原虫检测能力的二级及以上公立综合医院和传染病专科医院数</w:t>
            </w:r>
          </w:p>
        </w:tc>
        <w:tc>
          <w:tcPr>
            <w:tcW w:w="4077" w:type="dxa"/>
            <w:tcBorders>
              <w:top w:val="single" w:color="000000" w:sz="12" w:space="0"/>
              <w:left w:val="nil"/>
              <w:right w:val="nil"/>
            </w:tcBorders>
            <w:noWrap w:val="0"/>
            <w:vAlign w:val="center"/>
          </w:tcPr>
          <w:p>
            <w:pPr>
              <w:pStyle w:val="8"/>
              <w:spacing w:before="0" w:after="0" w:afterAutospacing="0" w:line="340" w:lineRule="atLeast"/>
              <w:jc w:val="left"/>
              <w:rPr>
                <w:rFonts w:hint="default" w:ascii="Times New Roman" w:hAnsi="Times New Roman" w:cs="Times New Roman"/>
                <w:sz w:val="21"/>
                <w:szCs w:val="21"/>
              </w:rPr>
            </w:pPr>
            <w:r>
              <w:rPr>
                <w:rFonts w:hint="default" w:ascii="Times New Roman" w:hAnsi="Times New Roman" w:cs="Times New Roman"/>
                <w:spacing w:val="-11"/>
                <w:sz w:val="21"/>
                <w:szCs w:val="21"/>
              </w:rPr>
              <w:t>以县</w:t>
            </w:r>
            <w:r>
              <w:rPr>
                <w:rFonts w:hint="default" w:ascii="Times New Roman" w:hAnsi="Times New Roman" w:cs="Times New Roman"/>
                <w:sz w:val="21"/>
                <w:szCs w:val="21"/>
              </w:rPr>
              <w:t>（</w:t>
            </w:r>
            <w:r>
              <w:rPr>
                <w:rFonts w:hint="default" w:ascii="Times New Roman" w:hAnsi="Times New Roman" w:cs="Times New Roman"/>
                <w:spacing w:val="-8"/>
                <w:sz w:val="21"/>
                <w:szCs w:val="21"/>
              </w:rPr>
              <w:t>市、区</w:t>
            </w:r>
            <w:r>
              <w:rPr>
                <w:rFonts w:hint="default" w:ascii="Times New Roman" w:hAnsi="Times New Roman" w:cs="Times New Roman"/>
                <w:spacing w:val="-22"/>
                <w:sz w:val="21"/>
                <w:szCs w:val="21"/>
              </w:rPr>
              <w:t>）</w:t>
            </w:r>
            <w:r>
              <w:rPr>
                <w:rFonts w:hint="default" w:ascii="Times New Roman" w:hAnsi="Times New Roman" w:cs="Times New Roman"/>
                <w:spacing w:val="-7"/>
                <w:sz w:val="21"/>
                <w:szCs w:val="21"/>
              </w:rPr>
              <w:t>为单位，二级及以上</w:t>
            </w:r>
            <w:r>
              <w:rPr>
                <w:rFonts w:hint="default" w:ascii="Times New Roman" w:hAnsi="Times New Roman" w:cs="Times New Roman"/>
                <w:spacing w:val="8"/>
                <w:sz w:val="21"/>
                <w:szCs w:val="21"/>
              </w:rPr>
              <w:t>公立综合医院和传染病专科医院中</w:t>
            </w:r>
            <w:r>
              <w:rPr>
                <w:rFonts w:hint="default" w:ascii="Times New Roman" w:hAnsi="Times New Roman" w:cs="Times New Roman"/>
                <w:spacing w:val="-15"/>
                <w:sz w:val="21"/>
                <w:szCs w:val="21"/>
              </w:rPr>
              <w:t>具备疟原虫</w:t>
            </w:r>
            <w:r>
              <w:rPr>
                <w:rFonts w:hint="default" w:ascii="Times New Roman" w:hAnsi="Times New Roman" w:cs="Times New Roman"/>
                <w:sz w:val="21"/>
                <w:szCs w:val="21"/>
              </w:rPr>
              <w:t>（</w:t>
            </w:r>
            <w:r>
              <w:rPr>
                <w:rFonts w:hint="default" w:ascii="Times New Roman" w:hAnsi="Times New Roman" w:cs="Times New Roman"/>
                <w:spacing w:val="-15"/>
                <w:sz w:val="21"/>
                <w:szCs w:val="21"/>
              </w:rPr>
              <w:t xml:space="preserve">镜检和 </w:t>
            </w:r>
            <w:r>
              <w:rPr>
                <w:rFonts w:hint="default" w:ascii="Times New Roman" w:hAnsi="Times New Roman" w:cs="Times New Roman"/>
                <w:spacing w:val="-19"/>
                <w:sz w:val="21"/>
                <w:szCs w:val="21"/>
              </w:rPr>
              <w:t>RDT）</w:t>
            </w:r>
            <w:r>
              <w:rPr>
                <w:rFonts w:hint="default" w:ascii="Times New Roman" w:hAnsi="Times New Roman" w:cs="Times New Roman"/>
                <w:spacing w:val="-4"/>
                <w:sz w:val="21"/>
                <w:szCs w:val="21"/>
              </w:rPr>
              <w:t>检测能力</w:t>
            </w:r>
            <w:r>
              <w:rPr>
                <w:rFonts w:hint="default" w:ascii="Times New Roman" w:hAnsi="Times New Roman" w:cs="Times New Roman"/>
                <w:sz w:val="21"/>
                <w:szCs w:val="21"/>
              </w:rPr>
              <w:t>的机构数量及比例</w:t>
            </w:r>
          </w:p>
        </w:tc>
        <w:tc>
          <w:tcPr>
            <w:tcW w:w="1251" w:type="dxa"/>
            <w:tcBorders>
              <w:top w:val="single" w:color="000000" w:sz="12" w:space="0"/>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w:t>
            </w:r>
          </w:p>
        </w:tc>
        <w:tc>
          <w:tcPr>
            <w:tcW w:w="949" w:type="dxa"/>
            <w:tcBorders>
              <w:top w:val="single" w:color="000000" w:sz="12" w:space="0"/>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 家</w:t>
            </w:r>
          </w:p>
        </w:tc>
        <w:tc>
          <w:tcPr>
            <w:tcW w:w="1038" w:type="dxa"/>
            <w:tcBorders>
              <w:top w:val="single" w:color="000000" w:sz="12" w:space="0"/>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75%</w:t>
            </w:r>
          </w:p>
        </w:tc>
        <w:tc>
          <w:tcPr>
            <w:tcW w:w="914" w:type="dxa"/>
            <w:tcBorders>
              <w:top w:val="single" w:color="000000" w:sz="12" w:space="0"/>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r>
      <w:tr>
        <w:tblPrEx>
          <w:tblCellMar>
            <w:top w:w="0" w:type="dxa"/>
            <w:left w:w="0" w:type="dxa"/>
            <w:bottom w:w="0" w:type="dxa"/>
            <w:right w:w="0" w:type="dxa"/>
          </w:tblCellMar>
        </w:tblPrEx>
        <w:trPr>
          <w:trHeight w:val="929" w:hRule="atLeast"/>
          <w:jc w:val="center"/>
        </w:trPr>
        <w:tc>
          <w:tcPr>
            <w:tcW w:w="1253" w:type="dxa"/>
            <w:vMerge w:val="continue"/>
            <w:tcBorders>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p>
        </w:tc>
        <w:tc>
          <w:tcPr>
            <w:tcW w:w="729" w:type="dxa"/>
            <w:tcBorders>
              <w:top w:val="nil"/>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2</w:t>
            </w:r>
          </w:p>
        </w:tc>
        <w:tc>
          <w:tcPr>
            <w:tcW w:w="3181" w:type="dxa"/>
            <w:tcBorders>
              <w:top w:val="nil"/>
              <w:left w:val="nil"/>
              <w:bottom w:val="nil"/>
              <w:right w:val="nil"/>
            </w:tcBorders>
            <w:noWrap w:val="0"/>
            <w:vAlign w:val="center"/>
          </w:tcPr>
          <w:p>
            <w:pPr>
              <w:pStyle w:val="8"/>
              <w:spacing w:before="0" w:after="0" w:afterAutospacing="0" w:line="340" w:lineRule="atLeast"/>
              <w:ind w:right="210" w:rightChars="100"/>
              <w:jc w:val="left"/>
              <w:rPr>
                <w:rFonts w:hint="default" w:ascii="Times New Roman" w:hAnsi="Times New Roman" w:cs="Times New Roman"/>
                <w:sz w:val="21"/>
                <w:szCs w:val="21"/>
              </w:rPr>
            </w:pPr>
            <w:r>
              <w:rPr>
                <w:rFonts w:hint="default" w:ascii="Times New Roman" w:hAnsi="Times New Roman" w:cs="Times New Roman"/>
                <w:sz w:val="21"/>
                <w:szCs w:val="21"/>
              </w:rPr>
              <w:t>重点边境地区具备疟原虫检测能力的乡镇医疗卫生机构覆盖率</w:t>
            </w:r>
          </w:p>
        </w:tc>
        <w:tc>
          <w:tcPr>
            <w:tcW w:w="4077" w:type="dxa"/>
            <w:tcBorders>
              <w:top w:val="nil"/>
              <w:left w:val="nil"/>
              <w:bottom w:val="nil"/>
              <w:right w:val="nil"/>
            </w:tcBorders>
            <w:noWrap w:val="0"/>
            <w:vAlign w:val="center"/>
          </w:tcPr>
          <w:p>
            <w:pPr>
              <w:pStyle w:val="8"/>
              <w:spacing w:before="0" w:after="0" w:afterAutospacing="0" w:line="340" w:lineRule="atLeast"/>
              <w:jc w:val="left"/>
              <w:rPr>
                <w:rFonts w:hint="default" w:ascii="Times New Roman" w:hAnsi="Times New Roman" w:cs="Times New Roman"/>
                <w:sz w:val="21"/>
                <w:szCs w:val="21"/>
              </w:rPr>
            </w:pPr>
            <w:r>
              <w:rPr>
                <w:rFonts w:hint="default" w:ascii="Times New Roman" w:hAnsi="Times New Roman" w:cs="Times New Roman"/>
                <w:sz w:val="21"/>
                <w:szCs w:val="21"/>
              </w:rPr>
              <w:t>重点边境地区乡镇医疗卫生机构中</w:t>
            </w:r>
            <w:r>
              <w:rPr>
                <w:rFonts w:hint="default" w:ascii="Times New Roman" w:hAnsi="Times New Roman" w:cs="Times New Roman"/>
                <w:spacing w:val="-15"/>
                <w:sz w:val="21"/>
                <w:szCs w:val="21"/>
              </w:rPr>
              <w:t>具备疟原虫</w:t>
            </w:r>
            <w:r>
              <w:rPr>
                <w:rFonts w:hint="default" w:ascii="Times New Roman" w:hAnsi="Times New Roman" w:cs="Times New Roman"/>
                <w:sz w:val="21"/>
                <w:szCs w:val="21"/>
              </w:rPr>
              <w:t>（</w:t>
            </w:r>
            <w:r>
              <w:rPr>
                <w:rFonts w:hint="default" w:ascii="Times New Roman" w:hAnsi="Times New Roman" w:cs="Times New Roman"/>
                <w:spacing w:val="-15"/>
                <w:sz w:val="21"/>
                <w:szCs w:val="21"/>
              </w:rPr>
              <w:t xml:space="preserve">镜检和 </w:t>
            </w:r>
            <w:r>
              <w:rPr>
                <w:rFonts w:hint="default" w:ascii="Times New Roman" w:hAnsi="Times New Roman" w:cs="Times New Roman"/>
                <w:spacing w:val="-19"/>
                <w:sz w:val="21"/>
                <w:szCs w:val="21"/>
              </w:rPr>
              <w:t>RDT）</w:t>
            </w:r>
            <w:r>
              <w:rPr>
                <w:rFonts w:hint="default" w:ascii="Times New Roman" w:hAnsi="Times New Roman" w:cs="Times New Roman"/>
                <w:spacing w:val="-4"/>
                <w:sz w:val="21"/>
                <w:szCs w:val="21"/>
              </w:rPr>
              <w:t>检测能力</w:t>
            </w:r>
            <w:r>
              <w:rPr>
                <w:rFonts w:hint="default" w:ascii="Times New Roman" w:hAnsi="Times New Roman" w:cs="Times New Roman"/>
                <w:sz w:val="21"/>
                <w:szCs w:val="21"/>
              </w:rPr>
              <w:t>的机构比例</w:t>
            </w:r>
          </w:p>
        </w:tc>
        <w:tc>
          <w:tcPr>
            <w:tcW w:w="1251" w:type="dxa"/>
            <w:tcBorders>
              <w:top w:val="nil"/>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49" w:type="dxa"/>
            <w:tcBorders>
              <w:top w:val="nil"/>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1038" w:type="dxa"/>
            <w:tcBorders>
              <w:top w:val="nil"/>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14" w:type="dxa"/>
            <w:tcBorders>
              <w:top w:val="nil"/>
              <w:left w:val="nil"/>
              <w:bottom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r>
      <w:tr>
        <w:tblPrEx>
          <w:tblCellMar>
            <w:top w:w="0" w:type="dxa"/>
            <w:left w:w="0" w:type="dxa"/>
            <w:bottom w:w="0" w:type="dxa"/>
            <w:right w:w="0" w:type="dxa"/>
          </w:tblCellMar>
        </w:tblPrEx>
        <w:trPr>
          <w:trHeight w:val="953" w:hRule="atLeast"/>
          <w:jc w:val="center"/>
        </w:trPr>
        <w:tc>
          <w:tcPr>
            <w:tcW w:w="1253" w:type="dxa"/>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疟疾病例救治</w:t>
            </w:r>
          </w:p>
        </w:tc>
        <w:tc>
          <w:tcPr>
            <w:tcW w:w="729" w:type="dxa"/>
            <w:tcBorders>
              <w:left w:val="nil"/>
              <w:right w:val="nil"/>
            </w:tcBorders>
            <w:noWrap w:val="0"/>
            <w:vAlign w:val="center"/>
          </w:tcPr>
          <w:p>
            <w:pPr>
              <w:pStyle w:val="8"/>
              <w:spacing w:before="0" w:after="0" w:line="340" w:lineRule="atLeast"/>
              <w:rPr>
                <w:rFonts w:hint="default" w:ascii="Times New Roman" w:hAnsi="Times New Roman" w:eastAsia="仿宋_GB2312" w:cs="Times New Roman"/>
                <w:sz w:val="21"/>
                <w:szCs w:val="21"/>
                <w:lang w:eastAsia="zh-CN"/>
              </w:rPr>
            </w:pPr>
            <w:r>
              <w:rPr>
                <w:rFonts w:hint="default" w:ascii="Times New Roman" w:hAnsi="Times New Roman" w:cs="Times New Roman"/>
                <w:sz w:val="21"/>
                <w:szCs w:val="21"/>
                <w:lang w:val="en-US" w:eastAsia="zh-CN"/>
              </w:rPr>
              <w:t>3</w:t>
            </w:r>
          </w:p>
        </w:tc>
        <w:tc>
          <w:tcPr>
            <w:tcW w:w="3181" w:type="dxa"/>
            <w:tcBorders>
              <w:left w:val="nil"/>
              <w:right w:val="nil"/>
            </w:tcBorders>
            <w:noWrap w:val="0"/>
            <w:vAlign w:val="center"/>
          </w:tcPr>
          <w:p>
            <w:pPr>
              <w:pStyle w:val="8"/>
              <w:spacing w:before="0" w:after="0" w:afterAutospacing="0" w:line="340" w:lineRule="atLeast"/>
              <w:ind w:right="210" w:rightChars="100"/>
              <w:jc w:val="left"/>
              <w:rPr>
                <w:rFonts w:hint="default" w:ascii="Times New Roman" w:hAnsi="Times New Roman" w:cs="Times New Roman"/>
                <w:sz w:val="21"/>
                <w:szCs w:val="21"/>
              </w:rPr>
            </w:pPr>
            <w:r>
              <w:rPr>
                <w:rFonts w:hint="default" w:ascii="Times New Roman" w:hAnsi="Times New Roman" w:cs="Times New Roman"/>
                <w:sz w:val="21"/>
                <w:szCs w:val="21"/>
              </w:rPr>
              <w:t>省级疟疾治疗定点医院覆盖率</w:t>
            </w:r>
          </w:p>
        </w:tc>
        <w:tc>
          <w:tcPr>
            <w:tcW w:w="4077" w:type="dxa"/>
            <w:tcBorders>
              <w:left w:val="nil"/>
              <w:right w:val="nil"/>
            </w:tcBorders>
            <w:noWrap w:val="0"/>
            <w:vAlign w:val="center"/>
          </w:tcPr>
          <w:p>
            <w:pPr>
              <w:pStyle w:val="8"/>
              <w:spacing w:before="0" w:after="0" w:line="340" w:lineRule="atLeast"/>
              <w:jc w:val="left"/>
              <w:rPr>
                <w:rFonts w:hint="default" w:ascii="Times New Roman" w:hAnsi="Times New Roman" w:cs="Times New Roman"/>
                <w:sz w:val="21"/>
                <w:szCs w:val="21"/>
              </w:rPr>
            </w:pPr>
            <w:r>
              <w:rPr>
                <w:rFonts w:hint="default" w:ascii="Times New Roman" w:hAnsi="Times New Roman" w:cs="Times New Roman"/>
                <w:sz w:val="21"/>
                <w:szCs w:val="21"/>
              </w:rPr>
              <w:t>自治区级疟疾治疗定点医院的省份比例</w:t>
            </w:r>
          </w:p>
        </w:tc>
        <w:tc>
          <w:tcPr>
            <w:tcW w:w="1251" w:type="dxa"/>
            <w:tcBorders>
              <w:left w:val="nil"/>
              <w:right w:val="nil"/>
            </w:tcBorders>
            <w:noWrap w:val="0"/>
            <w:vAlign w:val="center"/>
          </w:tcPr>
          <w:p>
            <w:pPr>
              <w:pStyle w:val="8"/>
              <w:spacing w:before="0" w:after="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49" w:type="dxa"/>
            <w:tcBorders>
              <w:left w:val="nil"/>
              <w:right w:val="nil"/>
            </w:tcBorders>
            <w:noWrap w:val="0"/>
            <w:vAlign w:val="center"/>
          </w:tcPr>
          <w:p>
            <w:pPr>
              <w:pStyle w:val="8"/>
              <w:spacing w:before="0" w:after="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1038" w:type="dxa"/>
            <w:tcBorders>
              <w:left w:val="nil"/>
              <w:right w:val="nil"/>
            </w:tcBorders>
            <w:noWrap w:val="0"/>
            <w:vAlign w:val="center"/>
          </w:tcPr>
          <w:p>
            <w:pPr>
              <w:pStyle w:val="8"/>
              <w:spacing w:before="0" w:after="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14" w:type="dxa"/>
            <w:tcBorders>
              <w:left w:val="nil"/>
              <w:right w:val="nil"/>
            </w:tcBorders>
            <w:noWrap w:val="0"/>
            <w:vAlign w:val="center"/>
          </w:tcPr>
          <w:p>
            <w:pPr>
              <w:pStyle w:val="8"/>
              <w:spacing w:before="0" w:after="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r>
      <w:tr>
        <w:tblPrEx>
          <w:tblCellMar>
            <w:top w:w="0" w:type="dxa"/>
            <w:left w:w="0" w:type="dxa"/>
            <w:bottom w:w="0" w:type="dxa"/>
            <w:right w:w="0" w:type="dxa"/>
          </w:tblCellMar>
        </w:tblPrEx>
        <w:trPr>
          <w:trHeight w:val="602" w:hRule="atLeast"/>
          <w:jc w:val="center"/>
        </w:trPr>
        <w:tc>
          <w:tcPr>
            <w:tcW w:w="1253" w:type="dxa"/>
            <w:vMerge w:val="restart"/>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疟疾监测</w:t>
            </w:r>
          </w:p>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响应</w:t>
            </w:r>
          </w:p>
        </w:tc>
        <w:tc>
          <w:tcPr>
            <w:tcW w:w="729" w:type="dxa"/>
            <w:tcBorders>
              <w:left w:val="nil"/>
              <w:right w:val="nil"/>
            </w:tcBorders>
            <w:noWrap w:val="0"/>
            <w:vAlign w:val="center"/>
          </w:tcPr>
          <w:p>
            <w:pPr>
              <w:pStyle w:val="8"/>
              <w:spacing w:before="0" w:after="0" w:afterAutospacing="0" w:line="340" w:lineRule="atLeast"/>
              <w:rPr>
                <w:rFonts w:hint="default" w:ascii="Times New Roman" w:hAnsi="Times New Roman" w:eastAsia="仿宋_GB2312" w:cs="Times New Roman"/>
                <w:sz w:val="21"/>
                <w:szCs w:val="21"/>
                <w:lang w:eastAsia="zh-CN"/>
              </w:rPr>
            </w:pPr>
            <w:r>
              <w:rPr>
                <w:rFonts w:hint="default" w:ascii="Times New Roman" w:hAnsi="Times New Roman" w:cs="Times New Roman"/>
                <w:sz w:val="21"/>
                <w:szCs w:val="21"/>
                <w:lang w:val="en-US" w:eastAsia="zh-CN"/>
              </w:rPr>
              <w:t>4</w:t>
            </w:r>
          </w:p>
        </w:tc>
        <w:tc>
          <w:tcPr>
            <w:tcW w:w="3181" w:type="dxa"/>
            <w:tcBorders>
              <w:left w:val="nil"/>
              <w:right w:val="nil"/>
            </w:tcBorders>
            <w:noWrap w:val="0"/>
            <w:vAlign w:val="center"/>
          </w:tcPr>
          <w:p>
            <w:pPr>
              <w:pStyle w:val="8"/>
              <w:spacing w:before="0" w:after="0" w:afterAutospacing="0" w:line="340" w:lineRule="atLeast"/>
              <w:ind w:right="210" w:rightChars="100"/>
              <w:jc w:val="left"/>
              <w:rPr>
                <w:rFonts w:hint="default" w:ascii="Times New Roman" w:hAnsi="Times New Roman" w:cs="Times New Roman"/>
                <w:sz w:val="21"/>
                <w:szCs w:val="21"/>
              </w:rPr>
            </w:pPr>
            <w:r>
              <w:rPr>
                <w:rFonts w:hint="default" w:ascii="Times New Roman" w:hAnsi="Times New Roman" w:cs="Times New Roman"/>
                <w:sz w:val="21"/>
                <w:szCs w:val="21"/>
              </w:rPr>
              <w:t>7 日内疫点调查与处置率</w:t>
            </w:r>
          </w:p>
        </w:tc>
        <w:tc>
          <w:tcPr>
            <w:tcW w:w="4077" w:type="dxa"/>
            <w:tcBorders>
              <w:left w:val="nil"/>
              <w:right w:val="nil"/>
            </w:tcBorders>
            <w:noWrap w:val="0"/>
            <w:vAlign w:val="center"/>
          </w:tcPr>
          <w:p>
            <w:pPr>
              <w:pStyle w:val="8"/>
              <w:spacing w:before="0" w:after="0" w:afterAutospacing="0" w:line="340" w:lineRule="atLeast"/>
              <w:jc w:val="left"/>
              <w:rPr>
                <w:rFonts w:hint="default" w:ascii="Times New Roman" w:hAnsi="Times New Roman" w:cs="Times New Roman"/>
                <w:sz w:val="21"/>
                <w:szCs w:val="21"/>
              </w:rPr>
            </w:pPr>
            <w:r>
              <w:rPr>
                <w:rFonts w:hint="default" w:ascii="Times New Roman" w:hAnsi="Times New Roman" w:cs="Times New Roman"/>
                <w:sz w:val="21"/>
                <w:szCs w:val="21"/>
              </w:rPr>
              <w:t>疟疾疫点在病例报告后 7 天内完成调查处置的比例</w:t>
            </w:r>
          </w:p>
        </w:tc>
        <w:tc>
          <w:tcPr>
            <w:tcW w:w="1251" w:type="dxa"/>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88%*</w:t>
            </w:r>
          </w:p>
        </w:tc>
        <w:tc>
          <w:tcPr>
            <w:tcW w:w="949" w:type="dxa"/>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≥90%</w:t>
            </w:r>
          </w:p>
        </w:tc>
        <w:tc>
          <w:tcPr>
            <w:tcW w:w="1038" w:type="dxa"/>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≥92%</w:t>
            </w:r>
          </w:p>
        </w:tc>
        <w:tc>
          <w:tcPr>
            <w:tcW w:w="914" w:type="dxa"/>
            <w:tcBorders>
              <w:left w:val="nil"/>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≥95%</w:t>
            </w:r>
          </w:p>
        </w:tc>
      </w:tr>
      <w:tr>
        <w:tblPrEx>
          <w:tblCellMar>
            <w:top w:w="0" w:type="dxa"/>
            <w:left w:w="0" w:type="dxa"/>
            <w:bottom w:w="0" w:type="dxa"/>
            <w:right w:w="0" w:type="dxa"/>
          </w:tblCellMar>
        </w:tblPrEx>
        <w:trPr>
          <w:trHeight w:val="595" w:hRule="atLeast"/>
          <w:jc w:val="center"/>
        </w:trPr>
        <w:tc>
          <w:tcPr>
            <w:tcW w:w="1253" w:type="dxa"/>
            <w:vMerge w:val="continue"/>
            <w:tcBorders>
              <w:left w:val="nil"/>
              <w:bottom w:val="single" w:color="000000" w:sz="12" w:space="0"/>
              <w:right w:val="nil"/>
            </w:tcBorders>
            <w:noWrap w:val="0"/>
            <w:vAlign w:val="center"/>
          </w:tcPr>
          <w:p>
            <w:pPr>
              <w:widowControl/>
              <w:spacing w:line="340" w:lineRule="atLeast"/>
              <w:rPr>
                <w:rFonts w:hint="default" w:ascii="Times New Roman" w:hAnsi="Times New Roman" w:eastAsia="仿宋_GB2312" w:cs="Times New Roman"/>
                <w:szCs w:val="21"/>
              </w:rPr>
            </w:pPr>
          </w:p>
        </w:tc>
        <w:tc>
          <w:tcPr>
            <w:tcW w:w="729" w:type="dxa"/>
            <w:tcBorders>
              <w:left w:val="nil"/>
              <w:bottom w:val="single" w:color="000000" w:sz="12" w:space="0"/>
              <w:right w:val="nil"/>
            </w:tcBorders>
            <w:noWrap w:val="0"/>
            <w:vAlign w:val="center"/>
          </w:tcPr>
          <w:p>
            <w:pPr>
              <w:pStyle w:val="8"/>
              <w:spacing w:before="0" w:after="0" w:afterAutospacing="0" w:line="340" w:lineRule="atLeast"/>
              <w:rPr>
                <w:rFonts w:hint="default" w:ascii="Times New Roman" w:hAnsi="Times New Roman" w:eastAsia="仿宋_GB2312" w:cs="Times New Roman"/>
                <w:sz w:val="21"/>
                <w:szCs w:val="21"/>
                <w:lang w:eastAsia="zh-CN"/>
              </w:rPr>
            </w:pPr>
            <w:r>
              <w:rPr>
                <w:rFonts w:hint="default" w:ascii="Times New Roman" w:hAnsi="Times New Roman" w:cs="Times New Roman"/>
                <w:sz w:val="21"/>
                <w:szCs w:val="21"/>
                <w:lang w:val="en-US" w:eastAsia="zh-CN"/>
              </w:rPr>
              <w:t>5</w:t>
            </w:r>
          </w:p>
        </w:tc>
        <w:tc>
          <w:tcPr>
            <w:tcW w:w="3181" w:type="dxa"/>
            <w:tcBorders>
              <w:left w:val="nil"/>
              <w:bottom w:val="single" w:color="000000" w:sz="12" w:space="0"/>
              <w:right w:val="nil"/>
            </w:tcBorders>
            <w:noWrap w:val="0"/>
            <w:vAlign w:val="center"/>
          </w:tcPr>
          <w:p>
            <w:pPr>
              <w:pStyle w:val="8"/>
              <w:spacing w:before="0" w:after="0" w:afterAutospacing="0" w:line="340" w:lineRule="atLeast"/>
              <w:ind w:right="210" w:rightChars="100"/>
              <w:jc w:val="left"/>
              <w:rPr>
                <w:rFonts w:hint="default" w:ascii="Times New Roman" w:hAnsi="Times New Roman" w:cs="Times New Roman"/>
                <w:sz w:val="21"/>
                <w:szCs w:val="21"/>
              </w:rPr>
            </w:pPr>
            <w:r>
              <w:rPr>
                <w:rFonts w:hint="default" w:ascii="Times New Roman" w:hAnsi="Times New Roman" w:cs="Times New Roman"/>
                <w:sz w:val="21"/>
                <w:szCs w:val="21"/>
              </w:rPr>
              <w:t>突发疫情及时处置率</w:t>
            </w:r>
          </w:p>
        </w:tc>
        <w:tc>
          <w:tcPr>
            <w:tcW w:w="4077" w:type="dxa"/>
            <w:tcBorders>
              <w:left w:val="nil"/>
              <w:bottom w:val="single" w:color="000000" w:sz="12" w:space="0"/>
              <w:right w:val="nil"/>
            </w:tcBorders>
            <w:noWrap w:val="0"/>
            <w:vAlign w:val="center"/>
          </w:tcPr>
          <w:p>
            <w:pPr>
              <w:pStyle w:val="8"/>
              <w:spacing w:before="0" w:after="0" w:afterAutospacing="0" w:line="340" w:lineRule="atLeast"/>
              <w:jc w:val="left"/>
              <w:rPr>
                <w:rFonts w:hint="default" w:ascii="Times New Roman" w:hAnsi="Times New Roman" w:cs="Times New Roman"/>
                <w:sz w:val="21"/>
                <w:szCs w:val="21"/>
              </w:rPr>
            </w:pPr>
            <w:r>
              <w:rPr>
                <w:rFonts w:hint="default" w:ascii="Times New Roman" w:hAnsi="Times New Roman" w:cs="Times New Roman"/>
                <w:sz w:val="21"/>
                <w:szCs w:val="21"/>
              </w:rPr>
              <w:t>突发疟疾疫情在报告后 1 天得到处</w:t>
            </w:r>
          </w:p>
          <w:p>
            <w:pPr>
              <w:pStyle w:val="8"/>
              <w:spacing w:before="0" w:after="0" w:afterAutospacing="0" w:line="340" w:lineRule="atLeast"/>
              <w:jc w:val="left"/>
              <w:rPr>
                <w:rFonts w:hint="default" w:ascii="Times New Roman" w:hAnsi="Times New Roman" w:cs="Times New Roman"/>
                <w:sz w:val="21"/>
                <w:szCs w:val="21"/>
              </w:rPr>
            </w:pPr>
            <w:r>
              <w:rPr>
                <w:rFonts w:hint="default" w:ascii="Times New Roman" w:hAnsi="Times New Roman" w:cs="Times New Roman"/>
                <w:sz w:val="21"/>
                <w:szCs w:val="21"/>
              </w:rPr>
              <w:t>置的比例</w:t>
            </w:r>
          </w:p>
        </w:tc>
        <w:tc>
          <w:tcPr>
            <w:tcW w:w="1251" w:type="dxa"/>
            <w:tcBorders>
              <w:left w:val="nil"/>
              <w:bottom w:val="single" w:color="000000" w:sz="12" w:space="0"/>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49" w:type="dxa"/>
            <w:tcBorders>
              <w:left w:val="nil"/>
              <w:bottom w:val="single" w:color="000000" w:sz="12" w:space="0"/>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1038" w:type="dxa"/>
            <w:tcBorders>
              <w:left w:val="nil"/>
              <w:bottom w:val="single" w:color="000000" w:sz="12" w:space="0"/>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914" w:type="dxa"/>
            <w:tcBorders>
              <w:left w:val="nil"/>
              <w:bottom w:val="single" w:color="000000" w:sz="12" w:space="0"/>
              <w:right w:val="nil"/>
            </w:tcBorders>
            <w:noWrap w:val="0"/>
            <w:vAlign w:val="center"/>
          </w:tcPr>
          <w:p>
            <w:pPr>
              <w:pStyle w:val="8"/>
              <w:spacing w:before="0" w:after="0" w:afterAutospacing="0" w:line="340" w:lineRule="atLeast"/>
              <w:rPr>
                <w:rFonts w:hint="default" w:ascii="Times New Roman" w:hAnsi="Times New Roman" w:cs="Times New Roman"/>
                <w:sz w:val="21"/>
                <w:szCs w:val="21"/>
              </w:rPr>
            </w:pPr>
            <w:r>
              <w:rPr>
                <w:rFonts w:hint="default" w:ascii="Times New Roman" w:hAnsi="Times New Roman" w:cs="Times New Roman"/>
                <w:sz w:val="21"/>
                <w:szCs w:val="21"/>
              </w:rPr>
              <w:t>100%</w:t>
            </w:r>
          </w:p>
        </w:tc>
      </w:tr>
    </w:tbl>
    <w:p>
      <w:pPr>
        <w:rPr>
          <w:rFonts w:hint="default" w:ascii="Times New Roman" w:hAnsi="Times New Roman" w:cs="Times New Roman"/>
          <w:sz w:val="24"/>
        </w:rPr>
      </w:pPr>
      <w:r>
        <w:rPr>
          <w:rFonts w:hint="default" w:ascii="Times New Roman" w:hAnsi="Times New Roman" w:cs="Times New Roman"/>
          <w:sz w:val="24"/>
        </w:rPr>
        <w:t>注：*为 2023 年11-12 月寄生虫病防治信息管理系统上线时数据作为基线。</w:t>
      </w:r>
    </w:p>
    <w:p>
      <w:pPr>
        <w:rPr>
          <w:rFonts w:hint="default" w:ascii="Times New Roman" w:hAnsi="Times New Roman" w:cs="Times New Roman"/>
          <w:sz w:val="24"/>
        </w:rPr>
      </w:pPr>
    </w:p>
    <w:tbl>
      <w:tblPr>
        <w:tblStyle w:val="4"/>
        <w:tblW w:w="13180" w:type="dxa"/>
        <w:tblInd w:w="108" w:type="dxa"/>
        <w:tblLayout w:type="fixed"/>
        <w:tblCellMar>
          <w:top w:w="0" w:type="dxa"/>
          <w:left w:w="108" w:type="dxa"/>
          <w:bottom w:w="0" w:type="dxa"/>
          <w:right w:w="108" w:type="dxa"/>
        </w:tblCellMar>
      </w:tblPr>
      <w:tblGrid>
        <w:gridCol w:w="1586"/>
        <w:gridCol w:w="2600"/>
        <w:gridCol w:w="902"/>
        <w:gridCol w:w="1267"/>
        <w:gridCol w:w="1344"/>
        <w:gridCol w:w="1049"/>
        <w:gridCol w:w="1233"/>
        <w:gridCol w:w="914"/>
        <w:gridCol w:w="1216"/>
        <w:gridCol w:w="1069"/>
      </w:tblGrid>
      <w:tr>
        <w:tblPrEx>
          <w:tblCellMar>
            <w:top w:w="0" w:type="dxa"/>
            <w:left w:w="108" w:type="dxa"/>
            <w:bottom w:w="0" w:type="dxa"/>
            <w:right w:w="108" w:type="dxa"/>
          </w:tblCellMar>
        </w:tblPrEx>
        <w:trPr>
          <w:trHeight w:val="312" w:hRule="atLeast"/>
        </w:trPr>
        <w:tc>
          <w:tcPr>
            <w:tcW w:w="13180" w:type="dxa"/>
            <w:gridSpan w:val="10"/>
            <w:vMerge w:val="restart"/>
            <w:tcBorders>
              <w:top w:val="nil"/>
              <w:left w:val="nil"/>
              <w:bottom w:val="nil"/>
              <w:right w:val="nil"/>
            </w:tcBorders>
            <w:noWrap/>
            <w:vAlign w:val="center"/>
          </w:tcPr>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p>
          <w:p>
            <w:pPr>
              <w:pStyle w:val="3"/>
              <w:autoSpaceDE w:val="0"/>
              <w:autoSpaceDN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附表</w:t>
            </w:r>
            <w:r>
              <w:rPr>
                <w:rFonts w:hint="default" w:ascii="Times New Roman" w:hAnsi="Times New Roman" w:eastAsia="黑体" w:cs="Times New Roman"/>
                <w:sz w:val="32"/>
                <w:szCs w:val="32"/>
                <w:lang w:val="en-US" w:eastAsia="zh-CN"/>
              </w:rPr>
              <w:t>6</w:t>
            </w:r>
          </w:p>
          <w:p>
            <w:pPr>
              <w:pStyle w:val="3"/>
              <w:autoSpaceDE w:val="0"/>
              <w:autoSpaceDN w:val="0"/>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黑热病防治目标推进表</w:t>
            </w:r>
          </w:p>
        </w:tc>
      </w:tr>
      <w:tr>
        <w:tblPrEx>
          <w:tblCellMar>
            <w:top w:w="0" w:type="dxa"/>
            <w:left w:w="108" w:type="dxa"/>
            <w:bottom w:w="0" w:type="dxa"/>
            <w:right w:w="108" w:type="dxa"/>
          </w:tblCellMar>
        </w:tblPrEx>
        <w:trPr>
          <w:trHeight w:val="312" w:hRule="atLeast"/>
        </w:trPr>
        <w:tc>
          <w:tcPr>
            <w:tcW w:w="13180" w:type="dxa"/>
            <w:gridSpan w:val="10"/>
            <w:vMerge w:val="continue"/>
            <w:tcBorders>
              <w:top w:val="nil"/>
              <w:left w:val="nil"/>
              <w:bottom w:val="nil"/>
              <w:right w:val="nil"/>
            </w:tcBorders>
            <w:noWrap w:val="0"/>
            <w:vAlign w:val="center"/>
          </w:tcPr>
          <w:p>
            <w:pPr>
              <w:rPr>
                <w:rFonts w:hint="default" w:ascii="Times New Roman" w:hAnsi="Times New Roman" w:eastAsia="仿宋_GB2312" w:cs="Times New Roman"/>
                <w:b/>
                <w:bCs/>
                <w:sz w:val="22"/>
                <w:szCs w:val="22"/>
              </w:rPr>
            </w:pPr>
          </w:p>
        </w:tc>
      </w:tr>
      <w:tr>
        <w:tblPrEx>
          <w:tblCellMar>
            <w:top w:w="0" w:type="dxa"/>
            <w:left w:w="108" w:type="dxa"/>
            <w:bottom w:w="0" w:type="dxa"/>
            <w:right w:w="108" w:type="dxa"/>
          </w:tblCellMar>
        </w:tblPrEx>
        <w:trPr>
          <w:trHeight w:val="312" w:hRule="atLeast"/>
        </w:trPr>
        <w:tc>
          <w:tcPr>
            <w:tcW w:w="13180" w:type="dxa"/>
            <w:gridSpan w:val="10"/>
            <w:vMerge w:val="continue"/>
            <w:tcBorders>
              <w:top w:val="nil"/>
              <w:left w:val="nil"/>
              <w:bottom w:val="nil"/>
              <w:right w:val="nil"/>
            </w:tcBorders>
            <w:noWrap w:val="0"/>
            <w:vAlign w:val="center"/>
          </w:tcPr>
          <w:p>
            <w:pPr>
              <w:rPr>
                <w:rFonts w:hint="default" w:ascii="Times New Roman" w:hAnsi="Times New Roman" w:eastAsia="仿宋_GB2312" w:cs="Times New Roman"/>
                <w:b/>
                <w:bCs/>
                <w:sz w:val="22"/>
                <w:szCs w:val="22"/>
              </w:rPr>
            </w:pPr>
          </w:p>
        </w:tc>
      </w:tr>
      <w:tr>
        <w:tblPrEx>
          <w:tblCellMar>
            <w:top w:w="0" w:type="dxa"/>
            <w:left w:w="108" w:type="dxa"/>
            <w:bottom w:w="0" w:type="dxa"/>
            <w:right w:w="108" w:type="dxa"/>
          </w:tblCellMar>
        </w:tblPrEx>
        <w:trPr>
          <w:trHeight w:val="1139" w:hRule="atLeast"/>
        </w:trPr>
        <w:tc>
          <w:tcPr>
            <w:tcW w:w="13180" w:type="dxa"/>
            <w:gridSpan w:val="10"/>
            <w:vMerge w:val="continue"/>
            <w:tcBorders>
              <w:top w:val="nil"/>
              <w:left w:val="nil"/>
              <w:bottom w:val="nil"/>
              <w:right w:val="nil"/>
            </w:tcBorders>
            <w:noWrap w:val="0"/>
            <w:vAlign w:val="center"/>
          </w:tcPr>
          <w:p>
            <w:pPr>
              <w:rPr>
                <w:rFonts w:hint="default" w:ascii="Times New Roman" w:hAnsi="Times New Roman" w:eastAsia="仿宋_GB2312" w:cs="Times New Roman"/>
                <w:b/>
                <w:bCs/>
                <w:sz w:val="22"/>
                <w:szCs w:val="22"/>
              </w:rPr>
            </w:pPr>
          </w:p>
        </w:tc>
      </w:tr>
      <w:tr>
        <w:tblPrEx>
          <w:tblCellMar>
            <w:top w:w="0" w:type="dxa"/>
            <w:left w:w="108" w:type="dxa"/>
            <w:bottom w:w="0" w:type="dxa"/>
            <w:right w:w="108" w:type="dxa"/>
          </w:tblCellMar>
        </w:tblPrEx>
        <w:trPr>
          <w:trHeight w:val="365" w:hRule="atLeast"/>
        </w:trPr>
        <w:tc>
          <w:tcPr>
            <w:tcW w:w="1586" w:type="dxa"/>
            <w:vMerge w:val="restart"/>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流行地州</w:t>
            </w:r>
          </w:p>
        </w:tc>
        <w:tc>
          <w:tcPr>
            <w:tcW w:w="2600" w:type="dxa"/>
            <w:vMerge w:val="restart"/>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重点流行县</w:t>
            </w:r>
          </w:p>
        </w:tc>
        <w:tc>
          <w:tcPr>
            <w:tcW w:w="2169" w:type="dxa"/>
            <w:gridSpan w:val="2"/>
            <w:vMerge w:val="restart"/>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2023年基线情况</w:t>
            </w:r>
          </w:p>
        </w:tc>
        <w:tc>
          <w:tcPr>
            <w:tcW w:w="2393" w:type="dxa"/>
            <w:gridSpan w:val="2"/>
            <w:vMerge w:val="restart"/>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2025 年目标</w:t>
            </w:r>
          </w:p>
        </w:tc>
        <w:tc>
          <w:tcPr>
            <w:tcW w:w="2147" w:type="dxa"/>
            <w:gridSpan w:val="2"/>
            <w:vMerge w:val="restart"/>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2027 年目标</w:t>
            </w:r>
          </w:p>
        </w:tc>
        <w:tc>
          <w:tcPr>
            <w:tcW w:w="2285" w:type="dxa"/>
            <w:gridSpan w:val="2"/>
            <w:vMerge w:val="restart"/>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2030 年目标</w:t>
            </w:r>
          </w:p>
        </w:tc>
      </w:tr>
      <w:tr>
        <w:tblPrEx>
          <w:tblCellMar>
            <w:top w:w="0" w:type="dxa"/>
            <w:left w:w="108" w:type="dxa"/>
            <w:bottom w:w="0" w:type="dxa"/>
            <w:right w:w="108" w:type="dxa"/>
          </w:tblCellMar>
        </w:tblPrEx>
        <w:trPr>
          <w:trHeight w:val="312" w:hRule="atLeast"/>
        </w:trPr>
        <w:tc>
          <w:tcPr>
            <w:tcW w:w="1586"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2600"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2169" w:type="dxa"/>
            <w:gridSpan w:val="2"/>
            <w:vMerge w:val="continue"/>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2393" w:type="dxa"/>
            <w:gridSpan w:val="2"/>
            <w:vMerge w:val="continue"/>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2147" w:type="dxa"/>
            <w:gridSpan w:val="2"/>
            <w:vMerge w:val="continue"/>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2285" w:type="dxa"/>
            <w:gridSpan w:val="2"/>
            <w:vMerge w:val="continue"/>
            <w:tcBorders>
              <w:top w:val="single" w:color="000000" w:sz="12" w:space="0"/>
              <w:left w:val="nil"/>
              <w:bottom w:val="single" w:color="000000" w:sz="8"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r>
      <w:tr>
        <w:tblPrEx>
          <w:tblCellMar>
            <w:top w:w="0" w:type="dxa"/>
            <w:left w:w="108" w:type="dxa"/>
            <w:bottom w:w="0" w:type="dxa"/>
            <w:right w:w="108" w:type="dxa"/>
          </w:tblCellMar>
        </w:tblPrEx>
        <w:trPr>
          <w:trHeight w:val="406" w:hRule="atLeast"/>
        </w:trPr>
        <w:tc>
          <w:tcPr>
            <w:tcW w:w="1586"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2600"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902" w:type="dxa"/>
            <w:vMerge w:val="restart"/>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重点流行县数</w:t>
            </w:r>
          </w:p>
        </w:tc>
        <w:tc>
          <w:tcPr>
            <w:tcW w:w="1267" w:type="dxa"/>
            <w:vMerge w:val="restart"/>
            <w:tcBorders>
              <w:top w:val="nil"/>
              <w:left w:val="nil"/>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报告发病率&lt;1/10 万县数</w:t>
            </w:r>
          </w:p>
        </w:tc>
        <w:tc>
          <w:tcPr>
            <w:tcW w:w="1344" w:type="dxa"/>
            <w:vMerge w:val="restart"/>
            <w:tcBorders>
              <w:top w:val="nil"/>
              <w:left w:val="nil"/>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报告发病率&lt;1/10 万县数</w:t>
            </w:r>
          </w:p>
        </w:tc>
        <w:tc>
          <w:tcPr>
            <w:tcW w:w="1049" w:type="dxa"/>
            <w:vMerge w:val="restart"/>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占比</w:t>
            </w:r>
          </w:p>
        </w:tc>
        <w:tc>
          <w:tcPr>
            <w:tcW w:w="1233" w:type="dxa"/>
            <w:vMerge w:val="restart"/>
            <w:tcBorders>
              <w:top w:val="nil"/>
              <w:left w:val="nil"/>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报告发病率&lt;1/10 万县数</w:t>
            </w:r>
          </w:p>
        </w:tc>
        <w:tc>
          <w:tcPr>
            <w:tcW w:w="914" w:type="dxa"/>
            <w:vMerge w:val="restart"/>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占比</w:t>
            </w:r>
          </w:p>
        </w:tc>
        <w:tc>
          <w:tcPr>
            <w:tcW w:w="1216" w:type="dxa"/>
            <w:vMerge w:val="restart"/>
            <w:tcBorders>
              <w:top w:val="nil"/>
              <w:left w:val="nil"/>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报告发病率&lt;1/10 万县数</w:t>
            </w:r>
          </w:p>
        </w:tc>
        <w:tc>
          <w:tcPr>
            <w:tcW w:w="1069" w:type="dxa"/>
            <w:vMerge w:val="restart"/>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r>
              <w:rPr>
                <w:rFonts w:hint="default" w:ascii="Times New Roman" w:hAnsi="Times New Roman" w:eastAsia="仿宋_GB2312" w:cs="Times New Roman"/>
                <w:b/>
                <w:bCs/>
                <w:sz w:val="24"/>
              </w:rPr>
              <w:t>占比</w:t>
            </w:r>
          </w:p>
        </w:tc>
      </w:tr>
      <w:tr>
        <w:tblPrEx>
          <w:tblCellMar>
            <w:top w:w="0" w:type="dxa"/>
            <w:left w:w="108" w:type="dxa"/>
            <w:bottom w:w="0" w:type="dxa"/>
            <w:right w:w="108" w:type="dxa"/>
          </w:tblCellMar>
        </w:tblPrEx>
        <w:trPr>
          <w:trHeight w:val="365" w:hRule="atLeast"/>
        </w:trPr>
        <w:tc>
          <w:tcPr>
            <w:tcW w:w="1586"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2600"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902"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67" w:type="dxa"/>
            <w:vMerge w:val="continue"/>
            <w:tcBorders>
              <w:left w:val="nil"/>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344" w:type="dxa"/>
            <w:vMerge w:val="continue"/>
            <w:tcBorders>
              <w:left w:val="nil"/>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049"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33" w:type="dxa"/>
            <w:vMerge w:val="continue"/>
            <w:tcBorders>
              <w:left w:val="nil"/>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914"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16" w:type="dxa"/>
            <w:vMerge w:val="continue"/>
            <w:tcBorders>
              <w:left w:val="nil"/>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069"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r>
      <w:tr>
        <w:tblPrEx>
          <w:tblCellMar>
            <w:top w:w="0" w:type="dxa"/>
            <w:left w:w="108" w:type="dxa"/>
            <w:bottom w:w="0" w:type="dxa"/>
            <w:right w:w="108" w:type="dxa"/>
          </w:tblCellMar>
        </w:tblPrEx>
        <w:trPr>
          <w:trHeight w:val="365" w:hRule="atLeast"/>
        </w:trPr>
        <w:tc>
          <w:tcPr>
            <w:tcW w:w="1586"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2600" w:type="dxa"/>
            <w:vMerge w:val="continue"/>
            <w:tcBorders>
              <w:top w:val="single" w:color="000000" w:sz="12" w:space="0"/>
              <w:left w:val="nil"/>
              <w:bottom w:val="single" w:color="000000" w:sz="12" w:space="0"/>
              <w:right w:val="nil"/>
            </w:tcBorders>
            <w:noWrap w:val="0"/>
            <w:vAlign w:val="center"/>
          </w:tcPr>
          <w:p>
            <w:pPr>
              <w:spacing w:line="240" w:lineRule="exact"/>
              <w:rPr>
                <w:rFonts w:hint="default" w:ascii="Times New Roman" w:hAnsi="Times New Roman" w:eastAsia="仿宋_GB2312" w:cs="Times New Roman"/>
                <w:b/>
                <w:bCs/>
                <w:sz w:val="24"/>
              </w:rPr>
            </w:pPr>
          </w:p>
        </w:tc>
        <w:tc>
          <w:tcPr>
            <w:tcW w:w="902"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67" w:type="dxa"/>
            <w:vMerge w:val="continue"/>
            <w:tcBorders>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344" w:type="dxa"/>
            <w:vMerge w:val="continue"/>
            <w:tcBorders>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049"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33" w:type="dxa"/>
            <w:vMerge w:val="continue"/>
            <w:tcBorders>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914"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216" w:type="dxa"/>
            <w:vMerge w:val="continue"/>
            <w:tcBorders>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c>
          <w:tcPr>
            <w:tcW w:w="1069" w:type="dxa"/>
            <w:vMerge w:val="continue"/>
            <w:tcBorders>
              <w:top w:val="nil"/>
              <w:left w:val="nil"/>
              <w:bottom w:val="single" w:color="000000" w:sz="12" w:space="0"/>
              <w:right w:val="nil"/>
            </w:tcBorders>
            <w:noWrap w:val="0"/>
            <w:vAlign w:val="center"/>
          </w:tcPr>
          <w:p>
            <w:pPr>
              <w:spacing w:line="240" w:lineRule="exact"/>
              <w:jc w:val="center"/>
              <w:rPr>
                <w:rFonts w:hint="default" w:ascii="Times New Roman" w:hAnsi="Times New Roman" w:eastAsia="仿宋_GB2312" w:cs="Times New Roman"/>
                <w:b/>
                <w:bCs/>
                <w:sz w:val="24"/>
              </w:rPr>
            </w:pPr>
          </w:p>
        </w:tc>
      </w:tr>
      <w:tr>
        <w:tblPrEx>
          <w:tblCellMar>
            <w:top w:w="0" w:type="dxa"/>
            <w:left w:w="108" w:type="dxa"/>
            <w:bottom w:w="0" w:type="dxa"/>
            <w:right w:w="108" w:type="dxa"/>
          </w:tblCellMar>
        </w:tblPrEx>
        <w:trPr>
          <w:trHeight w:val="760"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巴州</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轮台县、尉犁县、若羌县</w:t>
            </w:r>
          </w:p>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且末县、焉耆县、和硕县</w:t>
            </w:r>
          </w:p>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和静县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734"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阿克苏地区</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阿克苏市、库车市、沙雅县、乌什县、阿瓦提县、新和县、拜城县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克州</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阿图什市、阿克陶县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1223"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喀什地区</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喀什市、英吉沙县、岳普湖县、伽师县、巴楚县、疏勒县、泽普县、莎车县</w:t>
            </w:r>
          </w:p>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叶城县、麦盖提县、疏附县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734"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和田地区</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和田市、和田县、民丰县</w:t>
            </w:r>
          </w:p>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玉田县、墨玉县、策勒县</w:t>
            </w:r>
          </w:p>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洛浦县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博州</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精河县</w:t>
            </w:r>
          </w:p>
        </w:tc>
        <w:tc>
          <w:tcPr>
            <w:tcW w:w="902"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267"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34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91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69"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昌吉州</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昌吉市</w:t>
            </w:r>
          </w:p>
        </w:tc>
        <w:tc>
          <w:tcPr>
            <w:tcW w:w="902"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267"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34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91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69"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吐鲁番市</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高昌区、托克逊县</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哈密市</w:t>
            </w:r>
          </w:p>
        </w:tc>
        <w:tc>
          <w:tcPr>
            <w:tcW w:w="2600" w:type="dxa"/>
            <w:tcBorders>
              <w:top w:val="nil"/>
              <w:left w:val="nil"/>
              <w:bottom w:val="nil"/>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伊州区</w:t>
            </w:r>
          </w:p>
        </w:tc>
        <w:tc>
          <w:tcPr>
            <w:tcW w:w="902"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267"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34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914"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69" w:type="dxa"/>
            <w:tcBorders>
              <w:top w:val="nil"/>
              <w:left w:val="nil"/>
              <w:bottom w:val="nil"/>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245" w:hRule="atLeast"/>
        </w:trPr>
        <w:tc>
          <w:tcPr>
            <w:tcW w:w="1586"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克拉玛依市</w:t>
            </w:r>
          </w:p>
        </w:tc>
        <w:tc>
          <w:tcPr>
            <w:tcW w:w="2600" w:type="dxa"/>
            <w:tcBorders>
              <w:top w:val="nil"/>
              <w:left w:val="nil"/>
              <w:bottom w:val="nil"/>
              <w:right w:val="nil"/>
            </w:tcBorders>
            <w:noWrap w:val="0"/>
            <w:vAlign w:val="center"/>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克拉玛依区</w:t>
            </w:r>
          </w:p>
        </w:tc>
        <w:tc>
          <w:tcPr>
            <w:tcW w:w="902"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267"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34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4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914"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w:t>
            </w:r>
          </w:p>
        </w:tc>
        <w:tc>
          <w:tcPr>
            <w:tcW w:w="1216"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1069" w:type="dxa"/>
            <w:tcBorders>
              <w:top w:val="nil"/>
              <w:left w:val="nil"/>
              <w:bottom w:val="nil"/>
              <w:right w:val="nil"/>
            </w:tcBorders>
            <w:noWrap w:val="0"/>
            <w:vAlign w:val="center"/>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r>
        <w:tblPrEx>
          <w:tblCellMar>
            <w:top w:w="0" w:type="dxa"/>
            <w:left w:w="108" w:type="dxa"/>
            <w:bottom w:w="0" w:type="dxa"/>
            <w:right w:w="108" w:type="dxa"/>
          </w:tblCellMar>
        </w:tblPrEx>
        <w:trPr>
          <w:trHeight w:val="343" w:hRule="atLeast"/>
        </w:trPr>
        <w:tc>
          <w:tcPr>
            <w:tcW w:w="4186" w:type="dxa"/>
            <w:gridSpan w:val="2"/>
            <w:tcBorders>
              <w:top w:val="nil"/>
              <w:left w:val="nil"/>
              <w:bottom w:val="single" w:color="000000" w:sz="12" w:space="0"/>
              <w:right w:val="nil"/>
            </w:tcBorders>
            <w:noWrap w:val="0"/>
            <w:vAlign w:val="top"/>
          </w:tcPr>
          <w:p>
            <w:pPr>
              <w:snapToGrid w:val="0"/>
              <w:spacing w:line="28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合计</w:t>
            </w:r>
          </w:p>
        </w:tc>
        <w:tc>
          <w:tcPr>
            <w:tcW w:w="902"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1267"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1344"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1049"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33"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914"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c>
          <w:tcPr>
            <w:tcW w:w="1216"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1069" w:type="dxa"/>
            <w:tcBorders>
              <w:top w:val="nil"/>
              <w:left w:val="nil"/>
              <w:bottom w:val="single" w:color="000000" w:sz="12" w:space="0"/>
              <w:right w:val="nil"/>
            </w:tcBorders>
            <w:noWrap w:val="0"/>
            <w:vAlign w:val="top"/>
          </w:tcPr>
          <w:p>
            <w:pPr>
              <w:snapToGrid w:val="0"/>
              <w:spacing w:line="28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100%</w:t>
            </w:r>
          </w:p>
        </w:tc>
      </w:tr>
    </w:tbl>
    <w:p>
      <w:pPr>
        <w:spacing w:line="400" w:lineRule="exact"/>
        <w:rPr>
          <w:rFonts w:hint="default" w:ascii="Times New Roman" w:hAnsi="Times New Roman" w:eastAsia="宋体" w:cs="Times New Roman"/>
          <w:sz w:val="24"/>
          <w:szCs w:val="24"/>
        </w:rPr>
      </w:pPr>
      <w:r>
        <w:rPr>
          <w:rFonts w:hint="default" w:ascii="Times New Roman" w:hAnsi="Times New Roman" w:eastAsia="宋体" w:cs="Times New Roman"/>
          <w:sz w:val="24"/>
        </w:rPr>
        <w:t>注：1．2023 年重点流行县数为近十年有本地感染病例的县；2．2025年，40个重点流行县报告发病率均控制在 1/万以</w:t>
      </w:r>
      <w:r>
        <w:rPr>
          <w:rFonts w:hint="default" w:ascii="Times New Roman" w:hAnsi="Times New Roman" w:eastAsia="宋体" w:cs="Times New Roman"/>
          <w:color w:val="auto"/>
          <w:sz w:val="24"/>
          <w:lang w:eastAsia="zh-CN"/>
        </w:rPr>
        <w:t>下；</w:t>
      </w:r>
      <w:r>
        <w:rPr>
          <w:rFonts w:hint="default" w:ascii="Times New Roman" w:hAnsi="Times New Roman" w:eastAsia="宋体" w:cs="Times New Roman"/>
          <w:sz w:val="24"/>
        </w:rPr>
        <w:t>3．2030 年，40个重点流行县中 90%的县报告发病率控制在 1/10 万以下（全县人口少于 10 万的县，病例不超过 1 例）。</w:t>
      </w:r>
    </w:p>
    <w:p>
      <w:pPr>
        <w:pStyle w:val="3"/>
        <w:autoSpaceDE w:val="0"/>
        <w:autoSpaceDN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w:t>
      </w:r>
      <w:r>
        <w:rPr>
          <w:rFonts w:hint="default" w:ascii="Times New Roman" w:hAnsi="Times New Roman" w:eastAsia="黑体" w:cs="Times New Roman"/>
          <w:sz w:val="32"/>
          <w:szCs w:val="32"/>
          <w:lang w:eastAsia="zh-CN"/>
        </w:rPr>
        <w:t>表</w:t>
      </w:r>
      <w:r>
        <w:rPr>
          <w:rFonts w:hint="default" w:ascii="Times New Roman" w:hAnsi="Times New Roman" w:eastAsia="黑体" w:cs="Times New Roman"/>
          <w:sz w:val="32"/>
          <w:szCs w:val="32"/>
          <w:lang w:val="en-US" w:eastAsia="zh-CN"/>
        </w:rPr>
        <w:t>7</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黑热病防治主要工作指标清单</w:t>
      </w:r>
    </w:p>
    <w:tbl>
      <w:tblPr>
        <w:tblStyle w:val="9"/>
        <w:tblW w:w="13371" w:type="dxa"/>
        <w:jc w:val="center"/>
        <w:tblLayout w:type="fixed"/>
        <w:tblCellMar>
          <w:top w:w="0" w:type="dxa"/>
          <w:left w:w="0" w:type="dxa"/>
          <w:bottom w:w="0" w:type="dxa"/>
          <w:right w:w="0" w:type="dxa"/>
        </w:tblCellMar>
      </w:tblPr>
      <w:tblGrid>
        <w:gridCol w:w="716"/>
        <w:gridCol w:w="4085"/>
        <w:gridCol w:w="4641"/>
        <w:gridCol w:w="1091"/>
        <w:gridCol w:w="978"/>
        <w:gridCol w:w="831"/>
        <w:gridCol w:w="1029"/>
      </w:tblGrid>
      <w:tr>
        <w:tblPrEx>
          <w:tblCellMar>
            <w:top w:w="0" w:type="dxa"/>
            <w:left w:w="0" w:type="dxa"/>
            <w:bottom w:w="0" w:type="dxa"/>
            <w:right w:w="0" w:type="dxa"/>
          </w:tblCellMar>
        </w:tblPrEx>
        <w:trPr>
          <w:trHeight w:val="285" w:hRule="atLeast"/>
          <w:jc w:val="center"/>
        </w:trPr>
        <w:tc>
          <w:tcPr>
            <w:tcW w:w="716" w:type="dxa"/>
            <w:vMerge w:val="restart"/>
            <w:tcBorders>
              <w:top w:val="single" w:color="000000" w:sz="12" w:space="0"/>
              <w:left w:val="nil"/>
              <w:bottom w:val="single" w:color="000000" w:sz="12" w:space="0"/>
              <w:right w:val="nil"/>
            </w:tcBorders>
            <w:noWrap w:val="0"/>
            <w:vAlign w:val="center"/>
          </w:tcPr>
          <w:p>
            <w:pPr>
              <w:autoSpaceDE w:val="0"/>
              <w:autoSpaceDN w:val="0"/>
              <w:spacing w:after="100" w:afterAutospacing="1" w:line="320" w:lineRule="exact"/>
              <w:jc w:val="left"/>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序号</w:t>
            </w:r>
          </w:p>
        </w:tc>
        <w:tc>
          <w:tcPr>
            <w:tcW w:w="4085" w:type="dxa"/>
            <w:vMerge w:val="restart"/>
            <w:tcBorders>
              <w:top w:val="single" w:color="000000" w:sz="12" w:space="0"/>
              <w:left w:val="nil"/>
              <w:bottom w:val="single" w:color="000000" w:sz="12" w:space="0"/>
              <w:right w:val="nil"/>
            </w:tcBorders>
            <w:noWrap w:val="0"/>
            <w:vAlign w:val="center"/>
          </w:tcPr>
          <w:p>
            <w:pPr>
              <w:autoSpaceDE w:val="0"/>
              <w:autoSpaceDN w:val="0"/>
              <w:spacing w:after="100" w:afterAutospacing="1" w:line="320" w:lineRule="exact"/>
              <w:ind w:firstLine="480" w:firstLineChars="200"/>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指标</w:t>
            </w:r>
          </w:p>
        </w:tc>
        <w:tc>
          <w:tcPr>
            <w:tcW w:w="4641" w:type="dxa"/>
            <w:vMerge w:val="restart"/>
            <w:tcBorders>
              <w:top w:val="single" w:color="000000" w:sz="12" w:space="0"/>
              <w:left w:val="nil"/>
              <w:bottom w:val="single" w:color="000000" w:sz="12" w:space="0"/>
              <w:right w:val="nil"/>
            </w:tcBorders>
            <w:noWrap w:val="0"/>
            <w:vAlign w:val="center"/>
          </w:tcPr>
          <w:p>
            <w:pPr>
              <w:autoSpaceDE w:val="0"/>
              <w:autoSpaceDN w:val="0"/>
              <w:spacing w:after="100" w:afterAutospacing="1" w:line="320" w:lineRule="exact"/>
              <w:ind w:firstLine="480" w:firstLineChars="200"/>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定义</w:t>
            </w:r>
          </w:p>
        </w:tc>
        <w:tc>
          <w:tcPr>
            <w:tcW w:w="1091" w:type="dxa"/>
            <w:vMerge w:val="restart"/>
            <w:tcBorders>
              <w:top w:val="single" w:color="000000" w:sz="12" w:space="0"/>
              <w:left w:val="nil"/>
              <w:bottom w:val="single" w:color="000000" w:sz="12" w:space="0"/>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2023年</w:t>
            </w:r>
          </w:p>
          <w:p>
            <w:pPr>
              <w:autoSpaceDE w:val="0"/>
              <w:autoSpaceDN w:val="0"/>
              <w:spacing w:after="100" w:afterAutospacing="1" w:line="320" w:lineRule="exact"/>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基线水平</w:t>
            </w:r>
          </w:p>
        </w:tc>
        <w:tc>
          <w:tcPr>
            <w:tcW w:w="2838" w:type="dxa"/>
            <w:gridSpan w:val="3"/>
            <w:tcBorders>
              <w:top w:val="single" w:color="000000" w:sz="12" w:space="0"/>
              <w:left w:val="nil"/>
              <w:bottom w:val="single" w:color="000000" w:sz="4" w:space="0"/>
              <w:right w:val="nil"/>
            </w:tcBorders>
            <w:noWrap w:val="0"/>
            <w:vAlign w:val="center"/>
          </w:tcPr>
          <w:p>
            <w:pPr>
              <w:autoSpaceDE w:val="0"/>
              <w:autoSpaceDN w:val="0"/>
              <w:spacing w:after="100" w:afterAutospacing="1" w:line="320" w:lineRule="exact"/>
              <w:ind w:firstLine="480" w:firstLineChars="200"/>
              <w:jc w:val="center"/>
              <w:rPr>
                <w:rFonts w:hint="default" w:ascii="Times New Roman" w:hAnsi="Times New Roman" w:eastAsia="仿宋_GB2312" w:cs="Times New Roman"/>
                <w:kern w:val="0"/>
                <w:sz w:val="22"/>
                <w:szCs w:val="22"/>
                <w:lang w:val="en-US" w:eastAsia="zh-CN" w:bidi="ug-CN"/>
              </w:rPr>
            </w:pPr>
            <w:r>
              <w:rPr>
                <w:rFonts w:hint="default" w:ascii="Times New Roman" w:hAnsi="Times New Roman" w:eastAsia="仿宋_GB2312" w:cs="Times New Roman"/>
                <w:b/>
                <w:kern w:val="0"/>
                <w:sz w:val="24"/>
                <w:lang w:bidi="ug-CN"/>
              </w:rPr>
              <w:t>目标</w:t>
            </w:r>
            <w:r>
              <w:rPr>
                <w:rFonts w:hint="default" w:ascii="Times New Roman" w:hAnsi="Times New Roman" w:eastAsia="仿宋_GB2312" w:cs="Times New Roman"/>
                <w:b/>
                <w:kern w:val="0"/>
                <w:sz w:val="24"/>
                <w:lang w:val="en-US" w:eastAsia="zh-CN" w:bidi="ug-CN"/>
              </w:rPr>
              <w:t>要求</w:t>
            </w:r>
          </w:p>
        </w:tc>
      </w:tr>
      <w:tr>
        <w:tblPrEx>
          <w:tblCellMar>
            <w:top w:w="0" w:type="dxa"/>
            <w:left w:w="0" w:type="dxa"/>
            <w:bottom w:w="0" w:type="dxa"/>
            <w:right w:w="0" w:type="dxa"/>
          </w:tblCellMar>
        </w:tblPrEx>
        <w:trPr>
          <w:trHeight w:val="308" w:hRule="atLeast"/>
          <w:jc w:val="center"/>
        </w:trPr>
        <w:tc>
          <w:tcPr>
            <w:tcW w:w="716" w:type="dxa"/>
            <w:vMerge w:val="continue"/>
            <w:tcBorders>
              <w:top w:val="single" w:color="000000" w:sz="12" w:space="0"/>
              <w:left w:val="nil"/>
              <w:bottom w:val="single" w:color="000000" w:sz="12" w:space="0"/>
              <w:right w:val="nil"/>
            </w:tcBorders>
            <w:noWrap w:val="0"/>
            <w:vAlign w:val="center"/>
          </w:tcPr>
          <w:p>
            <w:pPr>
              <w:widowControl/>
              <w:spacing w:line="320" w:lineRule="exact"/>
              <w:jc w:val="left"/>
              <w:rPr>
                <w:rFonts w:hint="default" w:ascii="Times New Roman" w:hAnsi="Times New Roman" w:eastAsia="仿宋_GB2312" w:cs="Times New Roman"/>
                <w:b/>
                <w:kern w:val="0"/>
                <w:sz w:val="24"/>
                <w:lang w:bidi="ug-CN"/>
              </w:rPr>
            </w:pPr>
          </w:p>
        </w:tc>
        <w:tc>
          <w:tcPr>
            <w:tcW w:w="4085" w:type="dxa"/>
            <w:vMerge w:val="continue"/>
            <w:tcBorders>
              <w:top w:val="single" w:color="000000" w:sz="12" w:space="0"/>
              <w:left w:val="nil"/>
              <w:bottom w:val="single" w:color="000000" w:sz="12" w:space="0"/>
              <w:right w:val="nil"/>
            </w:tcBorders>
            <w:noWrap w:val="0"/>
            <w:vAlign w:val="center"/>
          </w:tcPr>
          <w:p>
            <w:pPr>
              <w:widowControl/>
              <w:spacing w:line="320" w:lineRule="exact"/>
              <w:jc w:val="left"/>
              <w:rPr>
                <w:rFonts w:hint="default" w:ascii="Times New Roman" w:hAnsi="Times New Roman" w:eastAsia="仿宋_GB2312" w:cs="Times New Roman"/>
                <w:b/>
                <w:kern w:val="0"/>
                <w:sz w:val="24"/>
                <w:lang w:bidi="ug-CN"/>
              </w:rPr>
            </w:pPr>
          </w:p>
        </w:tc>
        <w:tc>
          <w:tcPr>
            <w:tcW w:w="4641" w:type="dxa"/>
            <w:vMerge w:val="continue"/>
            <w:tcBorders>
              <w:top w:val="single" w:color="000000" w:sz="12" w:space="0"/>
              <w:left w:val="nil"/>
              <w:bottom w:val="single" w:color="000000" w:sz="12" w:space="0"/>
              <w:right w:val="nil"/>
            </w:tcBorders>
            <w:noWrap w:val="0"/>
            <w:vAlign w:val="center"/>
          </w:tcPr>
          <w:p>
            <w:pPr>
              <w:widowControl/>
              <w:spacing w:line="320" w:lineRule="exact"/>
              <w:jc w:val="left"/>
              <w:rPr>
                <w:rFonts w:hint="default" w:ascii="Times New Roman" w:hAnsi="Times New Roman" w:eastAsia="仿宋_GB2312" w:cs="Times New Roman"/>
                <w:b/>
                <w:kern w:val="0"/>
                <w:sz w:val="24"/>
                <w:lang w:bidi="ug-CN"/>
              </w:rPr>
            </w:pPr>
          </w:p>
        </w:tc>
        <w:tc>
          <w:tcPr>
            <w:tcW w:w="1091" w:type="dxa"/>
            <w:vMerge w:val="continue"/>
            <w:tcBorders>
              <w:top w:val="single" w:color="000000" w:sz="12" w:space="0"/>
              <w:left w:val="nil"/>
              <w:bottom w:val="single" w:color="000000" w:sz="12" w:space="0"/>
              <w:right w:val="nil"/>
            </w:tcBorders>
            <w:noWrap w:val="0"/>
            <w:vAlign w:val="center"/>
          </w:tcPr>
          <w:p>
            <w:pPr>
              <w:widowControl/>
              <w:spacing w:line="320" w:lineRule="exact"/>
              <w:jc w:val="center"/>
              <w:rPr>
                <w:rFonts w:hint="default" w:ascii="Times New Roman" w:hAnsi="Times New Roman" w:eastAsia="仿宋_GB2312" w:cs="Times New Roman"/>
                <w:b/>
                <w:kern w:val="0"/>
                <w:sz w:val="24"/>
                <w:lang w:bidi="ug-CN"/>
              </w:rPr>
            </w:pPr>
          </w:p>
        </w:tc>
        <w:tc>
          <w:tcPr>
            <w:tcW w:w="978" w:type="dxa"/>
            <w:tcBorders>
              <w:top w:val="single" w:color="000000" w:sz="4" w:space="0"/>
              <w:left w:val="nil"/>
              <w:bottom w:val="single" w:color="000000" w:sz="12" w:space="0"/>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2025年</w:t>
            </w:r>
          </w:p>
        </w:tc>
        <w:tc>
          <w:tcPr>
            <w:tcW w:w="831" w:type="dxa"/>
            <w:tcBorders>
              <w:top w:val="single" w:color="000000" w:sz="4" w:space="0"/>
              <w:left w:val="nil"/>
              <w:bottom w:val="single" w:color="000000" w:sz="12" w:space="0"/>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2027年</w:t>
            </w:r>
          </w:p>
        </w:tc>
        <w:tc>
          <w:tcPr>
            <w:tcW w:w="1029" w:type="dxa"/>
            <w:tcBorders>
              <w:top w:val="single" w:color="000000" w:sz="4" w:space="0"/>
              <w:left w:val="nil"/>
              <w:bottom w:val="single" w:color="000000" w:sz="12" w:space="0"/>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b/>
                <w:kern w:val="0"/>
                <w:sz w:val="24"/>
                <w:lang w:bidi="ug-CN"/>
              </w:rPr>
            </w:pPr>
            <w:r>
              <w:rPr>
                <w:rFonts w:hint="default" w:ascii="Times New Roman" w:hAnsi="Times New Roman" w:eastAsia="仿宋_GB2312" w:cs="Times New Roman"/>
                <w:b/>
                <w:kern w:val="0"/>
                <w:sz w:val="24"/>
                <w:lang w:bidi="ug-CN"/>
              </w:rPr>
              <w:t>2030年</w:t>
            </w:r>
          </w:p>
        </w:tc>
      </w:tr>
      <w:tr>
        <w:tblPrEx>
          <w:tblCellMar>
            <w:top w:w="0" w:type="dxa"/>
            <w:left w:w="0" w:type="dxa"/>
            <w:bottom w:w="0" w:type="dxa"/>
            <w:right w:w="0" w:type="dxa"/>
          </w:tblCellMar>
        </w:tblPrEx>
        <w:trPr>
          <w:trHeight w:val="554" w:hRule="atLeast"/>
          <w:jc w:val="center"/>
        </w:trPr>
        <w:tc>
          <w:tcPr>
            <w:tcW w:w="716" w:type="dxa"/>
            <w:tcBorders>
              <w:top w:val="single" w:color="000000" w:sz="12" w:space="0"/>
              <w:left w:val="nil"/>
              <w:bottom w:val="nil"/>
              <w:right w:val="nil"/>
            </w:tcBorders>
            <w:noWrap w:val="0"/>
            <w:vAlign w:val="center"/>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1</w:t>
            </w:r>
          </w:p>
        </w:tc>
        <w:tc>
          <w:tcPr>
            <w:tcW w:w="4085" w:type="dxa"/>
            <w:tcBorders>
              <w:top w:val="single" w:color="000000" w:sz="12" w:space="0"/>
              <w:left w:val="nil"/>
              <w:bottom w:val="nil"/>
              <w:right w:val="nil"/>
            </w:tcBorders>
            <w:noWrap w:val="0"/>
            <w:vAlign w:val="center"/>
          </w:tcPr>
          <w:p>
            <w:pPr>
              <w:autoSpaceDE w:val="0"/>
              <w:autoSpaceDN w:val="0"/>
              <w:spacing w:after="93" w:afterLines="30" w:line="320" w:lineRule="exact"/>
              <w:ind w:right="210" w:rightChars="100"/>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病例规范治疗率</w:t>
            </w:r>
          </w:p>
        </w:tc>
        <w:tc>
          <w:tcPr>
            <w:tcW w:w="4641" w:type="dxa"/>
            <w:tcBorders>
              <w:top w:val="single" w:color="000000" w:sz="12" w:space="0"/>
              <w:left w:val="nil"/>
              <w:bottom w:val="nil"/>
              <w:right w:val="nil"/>
            </w:tcBorders>
            <w:noWrap w:val="0"/>
            <w:vAlign w:val="center"/>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按照医院治疗规范完成治疗的病例占所有报告病例的百分比</w:t>
            </w:r>
          </w:p>
        </w:tc>
        <w:tc>
          <w:tcPr>
            <w:tcW w:w="1091" w:type="dxa"/>
            <w:tcBorders>
              <w:top w:val="single" w:color="000000" w:sz="12" w:space="0"/>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c>
          <w:tcPr>
            <w:tcW w:w="978" w:type="dxa"/>
            <w:tcBorders>
              <w:top w:val="single" w:color="000000" w:sz="12" w:space="0"/>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100%</w:t>
            </w:r>
          </w:p>
        </w:tc>
        <w:tc>
          <w:tcPr>
            <w:tcW w:w="831" w:type="dxa"/>
            <w:tcBorders>
              <w:top w:val="single" w:color="000000" w:sz="12" w:space="0"/>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100%</w:t>
            </w:r>
          </w:p>
        </w:tc>
        <w:tc>
          <w:tcPr>
            <w:tcW w:w="1029" w:type="dxa"/>
            <w:tcBorders>
              <w:top w:val="single" w:color="000000" w:sz="12" w:space="0"/>
              <w:left w:val="nil"/>
              <w:bottom w:val="nil"/>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100%</w:t>
            </w:r>
          </w:p>
        </w:tc>
      </w:tr>
      <w:tr>
        <w:tblPrEx>
          <w:tblCellMar>
            <w:top w:w="0" w:type="dxa"/>
            <w:left w:w="0" w:type="dxa"/>
            <w:bottom w:w="0" w:type="dxa"/>
            <w:right w:w="0" w:type="dxa"/>
          </w:tblCellMar>
        </w:tblPrEx>
        <w:trPr>
          <w:trHeight w:val="551" w:hRule="atLeast"/>
          <w:jc w:val="center"/>
        </w:trPr>
        <w:tc>
          <w:tcPr>
            <w:tcW w:w="716" w:type="dxa"/>
            <w:tcBorders>
              <w:top w:val="nil"/>
              <w:left w:val="nil"/>
              <w:bottom w:val="nil"/>
              <w:right w:val="nil"/>
            </w:tcBorders>
            <w:noWrap w:val="0"/>
            <w:vAlign w:val="center"/>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2</w:t>
            </w:r>
          </w:p>
        </w:tc>
        <w:tc>
          <w:tcPr>
            <w:tcW w:w="4085" w:type="dxa"/>
            <w:tcBorders>
              <w:top w:val="nil"/>
              <w:left w:val="nil"/>
              <w:bottom w:val="nil"/>
              <w:right w:val="nil"/>
            </w:tcBorders>
            <w:noWrap w:val="0"/>
            <w:vAlign w:val="center"/>
          </w:tcPr>
          <w:p>
            <w:pPr>
              <w:autoSpaceDE w:val="0"/>
              <w:autoSpaceDN w:val="0"/>
              <w:spacing w:after="93" w:afterLines="30" w:line="320" w:lineRule="exact"/>
              <w:ind w:right="210" w:rightChars="100"/>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人源型黑热病流行县，高危人群筛查覆盖率</w:t>
            </w:r>
          </w:p>
        </w:tc>
        <w:tc>
          <w:tcPr>
            <w:tcW w:w="4641" w:type="dxa"/>
            <w:tcBorders>
              <w:top w:val="nil"/>
              <w:left w:val="nil"/>
              <w:bottom w:val="nil"/>
              <w:right w:val="nil"/>
            </w:tcBorders>
            <w:noWrap w:val="0"/>
            <w:vAlign w:val="center"/>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人源型黑热病流行县，当年高危人群筛查覆盖人数占当地高危人群总人数的百分比</w:t>
            </w:r>
          </w:p>
        </w:tc>
        <w:tc>
          <w:tcPr>
            <w:tcW w:w="109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70%</w:t>
            </w:r>
          </w:p>
        </w:tc>
        <w:tc>
          <w:tcPr>
            <w:tcW w:w="978"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80%</w:t>
            </w:r>
          </w:p>
        </w:tc>
        <w:tc>
          <w:tcPr>
            <w:tcW w:w="83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85%</w:t>
            </w:r>
          </w:p>
        </w:tc>
        <w:tc>
          <w:tcPr>
            <w:tcW w:w="1029" w:type="dxa"/>
            <w:tcBorders>
              <w:top w:val="nil"/>
              <w:left w:val="nil"/>
              <w:bottom w:val="nil"/>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r>
      <w:tr>
        <w:tblPrEx>
          <w:tblCellMar>
            <w:top w:w="0" w:type="dxa"/>
            <w:left w:w="0" w:type="dxa"/>
            <w:bottom w:w="0" w:type="dxa"/>
            <w:right w:w="0" w:type="dxa"/>
          </w:tblCellMar>
        </w:tblPrEx>
        <w:trPr>
          <w:trHeight w:val="840" w:hRule="atLeast"/>
          <w:jc w:val="center"/>
        </w:trPr>
        <w:tc>
          <w:tcPr>
            <w:tcW w:w="716" w:type="dxa"/>
            <w:tcBorders>
              <w:top w:val="nil"/>
              <w:left w:val="nil"/>
              <w:bottom w:val="nil"/>
              <w:right w:val="nil"/>
            </w:tcBorders>
            <w:noWrap w:val="0"/>
            <w:vAlign w:val="center"/>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3</w:t>
            </w:r>
          </w:p>
        </w:tc>
        <w:tc>
          <w:tcPr>
            <w:tcW w:w="4085" w:type="dxa"/>
            <w:tcBorders>
              <w:top w:val="nil"/>
              <w:left w:val="nil"/>
              <w:bottom w:val="nil"/>
              <w:right w:val="nil"/>
            </w:tcBorders>
            <w:noWrap w:val="0"/>
            <w:vAlign w:val="center"/>
          </w:tcPr>
          <w:p>
            <w:pPr>
              <w:autoSpaceDE w:val="0"/>
              <w:autoSpaceDN w:val="0"/>
              <w:spacing w:after="93" w:afterLines="30" w:line="320" w:lineRule="exact"/>
              <w:ind w:right="210" w:rightChars="100"/>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野生动物源型黑热病流行县，重点流行乡镇小孔径蚊帐目标人群覆盖率</w:t>
            </w:r>
          </w:p>
        </w:tc>
        <w:tc>
          <w:tcPr>
            <w:tcW w:w="4641" w:type="dxa"/>
            <w:tcBorders>
              <w:top w:val="nil"/>
              <w:left w:val="nil"/>
              <w:bottom w:val="nil"/>
              <w:right w:val="nil"/>
            </w:tcBorders>
            <w:noWrap w:val="0"/>
            <w:vAlign w:val="center"/>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野生动物源型黑热病重点流行乡镇，</w:t>
            </w:r>
            <w:r>
              <w:rPr>
                <w:rFonts w:hint="default" w:ascii="Times New Roman" w:hAnsi="Times New Roman" w:eastAsia="仿宋_GB2312" w:cs="Times New Roman"/>
                <w:kern w:val="0"/>
                <w:position w:val="1"/>
                <w:sz w:val="24"/>
                <w:lang w:bidi="ug-CN"/>
              </w:rPr>
              <w:t xml:space="preserve">3 </w:t>
            </w:r>
            <w:r>
              <w:rPr>
                <w:rFonts w:hint="default" w:ascii="Times New Roman" w:hAnsi="Times New Roman" w:eastAsia="仿宋_GB2312" w:cs="Times New Roman"/>
                <w:kern w:val="0"/>
                <w:sz w:val="24"/>
                <w:lang w:bidi="ug-CN"/>
              </w:rPr>
              <w:t xml:space="preserve">岁以下婴儿小孔径蚊帐覆盖人数占 </w:t>
            </w:r>
            <w:r>
              <w:rPr>
                <w:rFonts w:hint="default" w:ascii="Times New Roman" w:hAnsi="Times New Roman" w:eastAsia="仿宋_GB2312" w:cs="Times New Roman"/>
                <w:kern w:val="0"/>
                <w:position w:val="1"/>
                <w:sz w:val="24"/>
                <w:lang w:bidi="ug-CN"/>
              </w:rPr>
              <w:t xml:space="preserve">3 </w:t>
            </w:r>
            <w:r>
              <w:rPr>
                <w:rFonts w:hint="default" w:ascii="Times New Roman" w:hAnsi="Times New Roman" w:eastAsia="仿宋_GB2312" w:cs="Times New Roman"/>
                <w:kern w:val="0"/>
                <w:sz w:val="24"/>
                <w:lang w:bidi="ug-CN"/>
              </w:rPr>
              <w:t>岁以下婴儿总人数的百分比</w:t>
            </w:r>
          </w:p>
        </w:tc>
        <w:tc>
          <w:tcPr>
            <w:tcW w:w="109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30%</w:t>
            </w:r>
          </w:p>
        </w:tc>
        <w:tc>
          <w:tcPr>
            <w:tcW w:w="978"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80%</w:t>
            </w:r>
          </w:p>
        </w:tc>
        <w:tc>
          <w:tcPr>
            <w:tcW w:w="83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85%</w:t>
            </w:r>
          </w:p>
        </w:tc>
        <w:tc>
          <w:tcPr>
            <w:tcW w:w="1029" w:type="dxa"/>
            <w:tcBorders>
              <w:top w:val="nil"/>
              <w:left w:val="nil"/>
              <w:bottom w:val="nil"/>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r>
      <w:tr>
        <w:tblPrEx>
          <w:tblCellMar>
            <w:top w:w="0" w:type="dxa"/>
            <w:left w:w="0" w:type="dxa"/>
            <w:bottom w:w="0" w:type="dxa"/>
            <w:right w:w="0" w:type="dxa"/>
          </w:tblCellMar>
        </w:tblPrEx>
        <w:trPr>
          <w:trHeight w:val="1120" w:hRule="atLeast"/>
          <w:jc w:val="center"/>
        </w:trPr>
        <w:tc>
          <w:tcPr>
            <w:tcW w:w="716" w:type="dxa"/>
            <w:tcBorders>
              <w:top w:val="nil"/>
              <w:left w:val="nil"/>
              <w:bottom w:val="nil"/>
              <w:right w:val="nil"/>
            </w:tcBorders>
            <w:noWrap w:val="0"/>
            <w:vAlign w:val="center"/>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4</w:t>
            </w:r>
          </w:p>
        </w:tc>
        <w:tc>
          <w:tcPr>
            <w:tcW w:w="4085" w:type="dxa"/>
            <w:tcBorders>
              <w:top w:val="nil"/>
              <w:left w:val="nil"/>
              <w:bottom w:val="nil"/>
              <w:right w:val="nil"/>
            </w:tcBorders>
            <w:noWrap w:val="0"/>
            <w:vAlign w:val="center"/>
          </w:tcPr>
          <w:p>
            <w:pPr>
              <w:autoSpaceDE w:val="0"/>
              <w:autoSpaceDN w:val="0"/>
              <w:spacing w:after="93" w:afterLines="30" w:line="320" w:lineRule="exact"/>
              <w:ind w:right="210" w:rightChars="100"/>
              <w:rPr>
                <w:rFonts w:hint="default" w:ascii="Times New Roman" w:hAnsi="Times New Roman" w:eastAsia="仿宋_GB2312" w:cs="Times New Roman"/>
                <w:kern w:val="0"/>
                <w:sz w:val="24"/>
                <w:lang w:bidi="ug-CN"/>
              </w:rPr>
            </w:pPr>
            <w:r>
              <w:rPr>
                <w:rFonts w:hint="default" w:ascii="Times New Roman" w:hAnsi="Times New Roman" w:eastAsia="仿宋_GB2312" w:cs="Times New Roman"/>
                <w:spacing w:val="-6"/>
                <w:kern w:val="0"/>
                <w:sz w:val="24"/>
                <w:lang w:bidi="ug-CN"/>
              </w:rPr>
              <w:t xml:space="preserve">上年度黑热病病家半径 </w:t>
            </w:r>
            <w:r>
              <w:rPr>
                <w:rFonts w:hint="default" w:ascii="Times New Roman" w:hAnsi="Times New Roman" w:eastAsia="仿宋_GB2312" w:cs="Times New Roman"/>
                <w:kern w:val="0"/>
                <w:position w:val="1"/>
                <w:sz w:val="24"/>
                <w:lang w:bidi="ug-CN"/>
              </w:rPr>
              <w:t xml:space="preserve">100 </w:t>
            </w:r>
            <w:r>
              <w:rPr>
                <w:rFonts w:hint="default" w:ascii="Times New Roman" w:hAnsi="Times New Roman" w:eastAsia="仿宋_GB2312" w:cs="Times New Roman"/>
                <w:spacing w:val="-5"/>
                <w:kern w:val="0"/>
                <w:sz w:val="24"/>
                <w:lang w:bidi="ug-CN"/>
              </w:rPr>
              <w:t>米范围内</w:t>
            </w:r>
            <w:r>
              <w:rPr>
                <w:rFonts w:hint="default" w:ascii="Times New Roman" w:hAnsi="Times New Roman" w:eastAsia="仿宋_GB2312" w:cs="Times New Roman"/>
                <w:spacing w:val="-2"/>
                <w:kern w:val="0"/>
                <w:sz w:val="24"/>
                <w:lang w:bidi="ug-CN"/>
              </w:rPr>
              <w:t>房屋、畜圈和禽舍等建筑杀虫剂滞留</w:t>
            </w:r>
            <w:r>
              <w:rPr>
                <w:rFonts w:hint="default" w:ascii="Times New Roman" w:hAnsi="Times New Roman" w:eastAsia="仿宋_GB2312" w:cs="Times New Roman"/>
                <w:kern w:val="0"/>
                <w:sz w:val="24"/>
                <w:lang w:bidi="ug-CN"/>
              </w:rPr>
              <w:t>喷洒覆盖率</w:t>
            </w:r>
          </w:p>
        </w:tc>
        <w:tc>
          <w:tcPr>
            <w:tcW w:w="4641" w:type="dxa"/>
            <w:tcBorders>
              <w:top w:val="nil"/>
              <w:left w:val="nil"/>
              <w:bottom w:val="nil"/>
              <w:right w:val="nil"/>
            </w:tcBorders>
            <w:noWrap w:val="0"/>
            <w:vAlign w:val="center"/>
          </w:tcPr>
          <w:p>
            <w:pPr>
              <w:autoSpaceDE w:val="0"/>
              <w:autoSpaceDN w:val="0"/>
              <w:spacing w:after="93" w:afterLines="30" w:line="320" w:lineRule="exact"/>
              <w:rPr>
                <w:rFonts w:hint="default" w:ascii="Times New Roman" w:hAnsi="Times New Roman" w:eastAsia="仿宋_GB2312" w:cs="Times New Roman"/>
                <w:kern w:val="0"/>
                <w:sz w:val="24"/>
                <w:lang w:bidi="ug-CN"/>
              </w:rPr>
            </w:pPr>
            <w:r>
              <w:rPr>
                <w:rFonts w:hint="default" w:ascii="Times New Roman" w:hAnsi="Times New Roman" w:eastAsia="仿宋_GB2312" w:cs="Times New Roman"/>
                <w:spacing w:val="-6"/>
                <w:kern w:val="0"/>
                <w:sz w:val="24"/>
                <w:lang w:bidi="ug-CN"/>
              </w:rPr>
              <w:t xml:space="preserve">上年度黑热病病家半径 </w:t>
            </w:r>
            <w:r>
              <w:rPr>
                <w:rFonts w:hint="default" w:ascii="Times New Roman" w:hAnsi="Times New Roman" w:eastAsia="仿宋_GB2312" w:cs="Times New Roman"/>
                <w:kern w:val="0"/>
                <w:position w:val="1"/>
                <w:sz w:val="24"/>
                <w:lang w:bidi="ug-CN"/>
              </w:rPr>
              <w:t xml:space="preserve">100 </w:t>
            </w:r>
            <w:r>
              <w:rPr>
                <w:rFonts w:hint="default" w:ascii="Times New Roman" w:hAnsi="Times New Roman" w:eastAsia="仿宋_GB2312" w:cs="Times New Roman"/>
                <w:spacing w:val="-3"/>
                <w:kern w:val="0"/>
                <w:sz w:val="24"/>
                <w:lang w:bidi="ug-CN"/>
              </w:rPr>
              <w:t>米范围内，杀</w:t>
            </w:r>
            <w:r>
              <w:rPr>
                <w:rFonts w:hint="default" w:ascii="Times New Roman" w:hAnsi="Times New Roman" w:eastAsia="仿宋_GB2312" w:cs="Times New Roman"/>
                <w:spacing w:val="-1"/>
                <w:kern w:val="0"/>
                <w:sz w:val="24"/>
                <w:lang w:bidi="ug-CN"/>
              </w:rPr>
              <w:t>虫剂滞留喷洒覆盖房屋、畜圈和禽舍等建筑墙面面积占房屋、畜圈和禽舍等建筑墙</w:t>
            </w:r>
            <w:r>
              <w:rPr>
                <w:rFonts w:hint="default" w:ascii="Times New Roman" w:hAnsi="Times New Roman" w:eastAsia="仿宋_GB2312" w:cs="Times New Roman"/>
                <w:kern w:val="0"/>
                <w:sz w:val="24"/>
                <w:lang w:bidi="ug-CN"/>
              </w:rPr>
              <w:t>面总面积百分比</w:t>
            </w:r>
          </w:p>
        </w:tc>
        <w:tc>
          <w:tcPr>
            <w:tcW w:w="109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70%</w:t>
            </w:r>
          </w:p>
        </w:tc>
        <w:tc>
          <w:tcPr>
            <w:tcW w:w="978"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80%</w:t>
            </w:r>
          </w:p>
        </w:tc>
        <w:tc>
          <w:tcPr>
            <w:tcW w:w="83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85%</w:t>
            </w:r>
          </w:p>
        </w:tc>
        <w:tc>
          <w:tcPr>
            <w:tcW w:w="1029" w:type="dxa"/>
            <w:tcBorders>
              <w:top w:val="nil"/>
              <w:left w:val="nil"/>
              <w:bottom w:val="nil"/>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r>
      <w:tr>
        <w:tblPrEx>
          <w:tblCellMar>
            <w:top w:w="0" w:type="dxa"/>
            <w:left w:w="0" w:type="dxa"/>
            <w:bottom w:w="0" w:type="dxa"/>
            <w:right w:w="0" w:type="dxa"/>
          </w:tblCellMar>
        </w:tblPrEx>
        <w:trPr>
          <w:trHeight w:val="885" w:hRule="atLeast"/>
          <w:jc w:val="center"/>
        </w:trPr>
        <w:tc>
          <w:tcPr>
            <w:tcW w:w="716" w:type="dxa"/>
            <w:tcBorders>
              <w:top w:val="nil"/>
              <w:left w:val="nil"/>
              <w:bottom w:val="nil"/>
              <w:right w:val="nil"/>
            </w:tcBorders>
            <w:noWrap w:val="0"/>
            <w:vAlign w:val="center"/>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5</w:t>
            </w:r>
          </w:p>
        </w:tc>
        <w:tc>
          <w:tcPr>
            <w:tcW w:w="4085" w:type="dxa"/>
            <w:tcBorders>
              <w:top w:val="nil"/>
              <w:left w:val="nil"/>
              <w:bottom w:val="nil"/>
              <w:right w:val="nil"/>
            </w:tcBorders>
            <w:noWrap w:val="0"/>
            <w:vAlign w:val="center"/>
          </w:tcPr>
          <w:p>
            <w:pPr>
              <w:autoSpaceDE w:val="0"/>
              <w:autoSpaceDN w:val="0"/>
              <w:spacing w:after="93" w:afterLines="30" w:line="320" w:lineRule="exact"/>
              <w:ind w:right="210" w:rightChars="100"/>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流行县居民黑热病防治知识知晓率</w:t>
            </w:r>
          </w:p>
        </w:tc>
        <w:tc>
          <w:tcPr>
            <w:tcW w:w="4641" w:type="dxa"/>
            <w:tcBorders>
              <w:top w:val="nil"/>
              <w:left w:val="nil"/>
              <w:bottom w:val="nil"/>
              <w:right w:val="nil"/>
            </w:tcBorders>
            <w:noWrap w:val="0"/>
            <w:vAlign w:val="center"/>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 xml:space="preserve">核心防治知识正确率 </w:t>
            </w:r>
            <w:r>
              <w:rPr>
                <w:rFonts w:hint="default" w:ascii="Times New Roman" w:hAnsi="Times New Roman" w:eastAsia="仿宋_GB2312" w:cs="Times New Roman"/>
                <w:kern w:val="0"/>
                <w:position w:val="1"/>
                <w:sz w:val="24"/>
                <w:lang w:bidi="ug-CN"/>
              </w:rPr>
              <w:t>60%</w:t>
            </w:r>
            <w:r>
              <w:rPr>
                <w:rFonts w:hint="default" w:ascii="Times New Roman" w:hAnsi="Times New Roman" w:eastAsia="仿宋_GB2312" w:cs="Times New Roman"/>
                <w:kern w:val="0"/>
                <w:sz w:val="24"/>
                <w:lang w:bidi="ug-CN"/>
              </w:rPr>
              <w:t>及以上即为知晓，知晓核心防治知识的居民数占受调查的居民数的百分比</w:t>
            </w:r>
          </w:p>
        </w:tc>
        <w:tc>
          <w:tcPr>
            <w:tcW w:w="109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70%</w:t>
            </w:r>
          </w:p>
        </w:tc>
        <w:tc>
          <w:tcPr>
            <w:tcW w:w="978"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80%</w:t>
            </w:r>
          </w:p>
        </w:tc>
        <w:tc>
          <w:tcPr>
            <w:tcW w:w="831" w:type="dxa"/>
            <w:tcBorders>
              <w:top w:val="nil"/>
              <w:left w:val="nil"/>
              <w:bottom w:val="nil"/>
              <w:right w:val="nil"/>
            </w:tcBorders>
            <w:noWrap w:val="0"/>
            <w:vAlign w:val="center"/>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c>
          <w:tcPr>
            <w:tcW w:w="1029" w:type="dxa"/>
            <w:tcBorders>
              <w:top w:val="nil"/>
              <w:left w:val="nil"/>
              <w:bottom w:val="nil"/>
              <w:right w:val="nil"/>
            </w:tcBorders>
            <w:noWrap w:val="0"/>
            <w:vAlign w:val="center"/>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95%</w:t>
            </w:r>
          </w:p>
        </w:tc>
      </w:tr>
      <w:tr>
        <w:tblPrEx>
          <w:tblCellMar>
            <w:top w:w="0" w:type="dxa"/>
            <w:left w:w="0" w:type="dxa"/>
            <w:bottom w:w="0" w:type="dxa"/>
            <w:right w:w="0" w:type="dxa"/>
          </w:tblCellMar>
        </w:tblPrEx>
        <w:trPr>
          <w:trHeight w:val="418" w:hRule="atLeast"/>
          <w:jc w:val="center"/>
        </w:trPr>
        <w:tc>
          <w:tcPr>
            <w:tcW w:w="716" w:type="dxa"/>
            <w:tcBorders>
              <w:top w:val="nil"/>
              <w:left w:val="nil"/>
              <w:bottom w:val="nil"/>
              <w:right w:val="nil"/>
            </w:tcBorders>
            <w:noWrap w:val="0"/>
            <w:vAlign w:val="top"/>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6</w:t>
            </w:r>
          </w:p>
        </w:tc>
        <w:tc>
          <w:tcPr>
            <w:tcW w:w="4085" w:type="dxa"/>
            <w:tcBorders>
              <w:top w:val="nil"/>
              <w:left w:val="nil"/>
              <w:bottom w:val="nil"/>
              <w:right w:val="nil"/>
            </w:tcBorders>
            <w:noWrap w:val="0"/>
            <w:vAlign w:val="top"/>
          </w:tcPr>
          <w:p>
            <w:pPr>
              <w:autoSpaceDE w:val="0"/>
              <w:autoSpaceDN w:val="0"/>
              <w:spacing w:after="93" w:afterLines="30" w:line="320" w:lineRule="exact"/>
              <w:ind w:right="210" w:rightChars="100"/>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疫点规范处置率</w:t>
            </w:r>
          </w:p>
        </w:tc>
        <w:tc>
          <w:tcPr>
            <w:tcW w:w="4641" w:type="dxa"/>
            <w:tcBorders>
              <w:top w:val="nil"/>
              <w:left w:val="nil"/>
              <w:bottom w:val="nil"/>
              <w:right w:val="nil"/>
            </w:tcBorders>
            <w:noWrap w:val="0"/>
            <w:vAlign w:val="top"/>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规范处置的疫点数占疫点总数的百分比</w:t>
            </w:r>
          </w:p>
        </w:tc>
        <w:tc>
          <w:tcPr>
            <w:tcW w:w="1091" w:type="dxa"/>
            <w:tcBorders>
              <w:top w:val="nil"/>
              <w:left w:val="nil"/>
              <w:bottom w:val="nil"/>
              <w:right w:val="nil"/>
            </w:tcBorders>
            <w:noWrap w:val="0"/>
            <w:vAlign w:val="top"/>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80%</w:t>
            </w:r>
          </w:p>
        </w:tc>
        <w:tc>
          <w:tcPr>
            <w:tcW w:w="978" w:type="dxa"/>
            <w:tcBorders>
              <w:top w:val="nil"/>
              <w:left w:val="nil"/>
              <w:bottom w:val="nil"/>
              <w:right w:val="nil"/>
            </w:tcBorders>
            <w:noWrap w:val="0"/>
            <w:vAlign w:val="top"/>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90%</w:t>
            </w:r>
          </w:p>
        </w:tc>
        <w:tc>
          <w:tcPr>
            <w:tcW w:w="831" w:type="dxa"/>
            <w:tcBorders>
              <w:top w:val="nil"/>
              <w:left w:val="nil"/>
              <w:bottom w:val="nil"/>
              <w:right w:val="nil"/>
            </w:tcBorders>
            <w:noWrap w:val="0"/>
            <w:vAlign w:val="top"/>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95%</w:t>
            </w:r>
          </w:p>
        </w:tc>
        <w:tc>
          <w:tcPr>
            <w:tcW w:w="1029" w:type="dxa"/>
            <w:tcBorders>
              <w:top w:val="nil"/>
              <w:left w:val="nil"/>
              <w:bottom w:val="nil"/>
              <w:right w:val="nil"/>
            </w:tcBorders>
            <w:noWrap w:val="0"/>
            <w:vAlign w:val="top"/>
          </w:tcPr>
          <w:p>
            <w:pPr>
              <w:autoSpaceDE w:val="0"/>
              <w:autoSpaceDN w:val="0"/>
              <w:spacing w:after="100" w:afterAutospacing="1"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100%</w:t>
            </w:r>
          </w:p>
        </w:tc>
      </w:tr>
      <w:tr>
        <w:tblPrEx>
          <w:tblCellMar>
            <w:top w:w="0" w:type="dxa"/>
            <w:left w:w="0" w:type="dxa"/>
            <w:bottom w:w="0" w:type="dxa"/>
            <w:right w:w="0" w:type="dxa"/>
          </w:tblCellMar>
        </w:tblPrEx>
        <w:trPr>
          <w:trHeight w:val="449" w:hRule="atLeast"/>
          <w:jc w:val="center"/>
        </w:trPr>
        <w:tc>
          <w:tcPr>
            <w:tcW w:w="716" w:type="dxa"/>
            <w:tcBorders>
              <w:top w:val="nil"/>
              <w:left w:val="nil"/>
              <w:bottom w:val="single" w:color="000000" w:sz="12" w:space="0"/>
              <w:right w:val="nil"/>
            </w:tcBorders>
            <w:noWrap w:val="0"/>
            <w:vAlign w:val="top"/>
          </w:tcPr>
          <w:p>
            <w:pPr>
              <w:autoSpaceDE w:val="0"/>
              <w:autoSpaceDN w:val="0"/>
              <w:spacing w:after="93" w:afterLines="30" w:line="320" w:lineRule="exact"/>
              <w:ind w:right="210" w:rightChars="1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7</w:t>
            </w:r>
          </w:p>
        </w:tc>
        <w:tc>
          <w:tcPr>
            <w:tcW w:w="4085" w:type="dxa"/>
            <w:tcBorders>
              <w:top w:val="nil"/>
              <w:left w:val="nil"/>
              <w:bottom w:val="single" w:color="000000" w:sz="12" w:space="0"/>
              <w:right w:val="nil"/>
            </w:tcBorders>
            <w:noWrap w:val="0"/>
            <w:vAlign w:val="top"/>
          </w:tcPr>
          <w:p>
            <w:pPr>
              <w:autoSpaceDE w:val="0"/>
              <w:autoSpaceDN w:val="0"/>
              <w:spacing w:after="93" w:afterLines="30" w:line="320" w:lineRule="exact"/>
              <w:ind w:right="210" w:rightChars="100"/>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患者首次就诊到确诊平均时间</w:t>
            </w:r>
          </w:p>
        </w:tc>
        <w:tc>
          <w:tcPr>
            <w:tcW w:w="4641" w:type="dxa"/>
            <w:tcBorders>
              <w:top w:val="nil"/>
              <w:left w:val="nil"/>
              <w:bottom w:val="single" w:color="000000" w:sz="12" w:space="0"/>
              <w:right w:val="nil"/>
            </w:tcBorders>
            <w:noWrap w:val="0"/>
            <w:vAlign w:val="top"/>
          </w:tcPr>
          <w:p>
            <w:pPr>
              <w:autoSpaceDE w:val="0"/>
              <w:autoSpaceDN w:val="0"/>
              <w:spacing w:after="93" w:afterLines="30" w:line="320" w:lineRule="exact"/>
              <w:jc w:val="left"/>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患者首次就诊到确诊平均天数</w:t>
            </w:r>
          </w:p>
        </w:tc>
        <w:tc>
          <w:tcPr>
            <w:tcW w:w="1091" w:type="dxa"/>
            <w:tcBorders>
              <w:top w:val="nil"/>
              <w:left w:val="nil"/>
              <w:bottom w:val="single" w:color="000000" w:sz="12" w:space="0"/>
              <w:right w:val="nil"/>
            </w:tcBorders>
            <w:noWrap w:val="0"/>
            <w:vAlign w:val="top"/>
          </w:tcPr>
          <w:p>
            <w:pPr>
              <w:autoSpaceDE w:val="0"/>
              <w:autoSpaceDN w:val="0"/>
              <w:spacing w:after="93" w:afterLines="30" w:line="320" w:lineRule="exact"/>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21 天</w:t>
            </w:r>
          </w:p>
        </w:tc>
        <w:tc>
          <w:tcPr>
            <w:tcW w:w="2838" w:type="dxa"/>
            <w:gridSpan w:val="3"/>
            <w:tcBorders>
              <w:top w:val="nil"/>
              <w:left w:val="nil"/>
              <w:bottom w:val="single" w:color="000000" w:sz="12" w:space="0"/>
              <w:right w:val="nil"/>
            </w:tcBorders>
            <w:noWrap w:val="0"/>
            <w:vAlign w:val="top"/>
          </w:tcPr>
          <w:p>
            <w:pPr>
              <w:autoSpaceDE w:val="0"/>
              <w:autoSpaceDN w:val="0"/>
              <w:spacing w:after="100" w:afterAutospacing="1" w:line="320" w:lineRule="exact"/>
              <w:ind w:firstLine="480" w:firstLineChars="200"/>
              <w:jc w:val="center"/>
              <w:rPr>
                <w:rFonts w:hint="default" w:ascii="Times New Roman" w:hAnsi="Times New Roman" w:eastAsia="仿宋_GB2312" w:cs="Times New Roman"/>
                <w:kern w:val="0"/>
                <w:sz w:val="24"/>
                <w:lang w:bidi="ug-CN"/>
              </w:rPr>
            </w:pPr>
            <w:r>
              <w:rPr>
                <w:rFonts w:hint="default" w:ascii="Times New Roman" w:hAnsi="Times New Roman" w:eastAsia="仿宋_GB2312" w:cs="Times New Roman"/>
                <w:kern w:val="0"/>
                <w:sz w:val="24"/>
                <w:lang w:bidi="ug-CN"/>
              </w:rPr>
              <w:t>持续缩短</w:t>
            </w:r>
          </w:p>
        </w:tc>
      </w:tr>
    </w:tbl>
    <w:p>
      <w:pPr>
        <w:pStyle w:val="2"/>
        <w:rPr>
          <w:rFonts w:hint="default" w:ascii="Times New Roman" w:hAnsi="Times New Roman" w:cs="Times New Roman"/>
        </w:rPr>
        <w:sectPr>
          <w:pgSz w:w="15840" w:h="12240" w:orient="landscape"/>
          <w:pgMar w:top="1134" w:right="1417" w:bottom="1134" w:left="1417" w:header="720" w:footer="720" w:gutter="0"/>
          <w:pgNumType w:fmt="decimal"/>
          <w:cols w:space="720" w:num="1"/>
          <w:docGrid w:type="linesAndChars" w:linePitch="312" w:charSpace="0"/>
        </w:sectPr>
      </w:pPr>
    </w:p>
    <w:p>
      <w:pPr>
        <w:pStyle w:val="3"/>
        <w:autoSpaceDE w:val="0"/>
        <w:autoSpaceDN w:val="0"/>
        <w:spacing w:line="56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w:t>
      </w:r>
      <w:r>
        <w:rPr>
          <w:rFonts w:hint="default" w:ascii="Times New Roman" w:hAnsi="Times New Roman" w:eastAsia="黑体" w:cs="Times New Roman"/>
          <w:sz w:val="32"/>
          <w:szCs w:val="32"/>
          <w:lang w:eastAsia="zh-CN"/>
        </w:rPr>
        <w:t>表</w:t>
      </w:r>
      <w:r>
        <w:rPr>
          <w:rFonts w:hint="default" w:ascii="Times New Roman" w:hAnsi="Times New Roman" w:eastAsia="黑体" w:cs="Times New Roman"/>
          <w:sz w:val="32"/>
          <w:szCs w:val="32"/>
        </w:rPr>
        <w:t>8</w:t>
      </w:r>
    </w:p>
    <w:p>
      <w:pPr>
        <w:jc w:val="center"/>
        <w:rPr>
          <w:rFonts w:hint="default" w:ascii="Times New Roman" w:hAnsi="Times New Roman" w:eastAsia="方正小标宋简体" w:cs="Times New Roman"/>
          <w:w w:val="90"/>
          <w:sz w:val="44"/>
          <w:szCs w:val="44"/>
          <w:lang w:eastAsia="zh-CN"/>
        </w:rPr>
      </w:pPr>
      <w:bookmarkStart w:id="0" w:name="_Hlk167399706"/>
    </w:p>
    <w:p>
      <w:pPr>
        <w:jc w:val="center"/>
        <w:rPr>
          <w:rFonts w:hint="default" w:ascii="Times New Roman" w:hAnsi="Times New Roman" w:eastAsia="方正小标宋简体" w:cs="Times New Roman"/>
          <w:w w:val="90"/>
          <w:sz w:val="44"/>
          <w:szCs w:val="44"/>
        </w:rPr>
      </w:pPr>
      <w:r>
        <w:rPr>
          <w:rFonts w:hint="default" w:ascii="Times New Roman" w:hAnsi="Times New Roman" w:eastAsia="方正小标宋简体" w:cs="Times New Roman"/>
          <w:w w:val="90"/>
          <w:sz w:val="44"/>
          <w:szCs w:val="44"/>
          <w:lang w:eastAsia="zh-CN"/>
        </w:rPr>
        <w:t>自治区</w:t>
      </w:r>
      <w:r>
        <w:rPr>
          <w:rFonts w:hint="default" w:ascii="Times New Roman" w:hAnsi="Times New Roman" w:eastAsia="方正小标宋简体" w:cs="Times New Roman"/>
          <w:w w:val="90"/>
          <w:sz w:val="44"/>
          <w:szCs w:val="44"/>
        </w:rPr>
        <w:t>土源性线虫病传播控制与阻断目标推进表</w:t>
      </w:r>
    </w:p>
    <w:bookmarkEnd w:id="0"/>
    <w:tbl>
      <w:tblPr>
        <w:tblStyle w:val="4"/>
        <w:tblW w:w="10045" w:type="dxa"/>
        <w:jc w:val="center"/>
        <w:tblLayout w:type="fixed"/>
        <w:tblCellMar>
          <w:top w:w="0" w:type="dxa"/>
          <w:left w:w="108" w:type="dxa"/>
          <w:bottom w:w="0" w:type="dxa"/>
          <w:right w:w="108" w:type="dxa"/>
        </w:tblCellMar>
      </w:tblPr>
      <w:tblGrid>
        <w:gridCol w:w="1898"/>
        <w:gridCol w:w="3264"/>
        <w:gridCol w:w="948"/>
        <w:gridCol w:w="1313"/>
        <w:gridCol w:w="1311"/>
        <w:gridCol w:w="1282"/>
        <w:gridCol w:w="29"/>
      </w:tblGrid>
      <w:tr>
        <w:tblPrEx>
          <w:tblCellMar>
            <w:top w:w="0" w:type="dxa"/>
            <w:left w:w="108" w:type="dxa"/>
            <w:bottom w:w="0" w:type="dxa"/>
            <w:right w:w="108" w:type="dxa"/>
          </w:tblCellMar>
        </w:tblPrEx>
        <w:trPr>
          <w:trHeight w:val="447" w:hRule="atLeast"/>
          <w:jc w:val="center"/>
        </w:trPr>
        <w:tc>
          <w:tcPr>
            <w:tcW w:w="1898" w:type="dxa"/>
            <w:vMerge w:val="restart"/>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地州（县、市）</w:t>
            </w:r>
          </w:p>
        </w:tc>
        <w:tc>
          <w:tcPr>
            <w:tcW w:w="3264" w:type="dxa"/>
            <w:vMerge w:val="restart"/>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重点流行县</w:t>
            </w:r>
          </w:p>
        </w:tc>
        <w:tc>
          <w:tcPr>
            <w:tcW w:w="948" w:type="dxa"/>
            <w:vMerge w:val="restart"/>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基线人群感染率*</w:t>
            </w:r>
          </w:p>
        </w:tc>
        <w:tc>
          <w:tcPr>
            <w:tcW w:w="1313" w:type="dxa"/>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2027年</w:t>
            </w:r>
          </w:p>
        </w:tc>
        <w:tc>
          <w:tcPr>
            <w:tcW w:w="2622" w:type="dxa"/>
            <w:gridSpan w:val="3"/>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2030年</w:t>
            </w:r>
          </w:p>
        </w:tc>
      </w:tr>
      <w:tr>
        <w:tblPrEx>
          <w:tblCellMar>
            <w:top w:w="0" w:type="dxa"/>
            <w:left w:w="108" w:type="dxa"/>
            <w:bottom w:w="0" w:type="dxa"/>
            <w:right w:w="108" w:type="dxa"/>
          </w:tblCellMar>
        </w:tblPrEx>
        <w:trPr>
          <w:gridAfter w:val="1"/>
          <w:wAfter w:w="29" w:type="dxa"/>
          <w:trHeight w:val="413" w:hRule="atLeast"/>
          <w:jc w:val="center"/>
        </w:trPr>
        <w:tc>
          <w:tcPr>
            <w:tcW w:w="1898" w:type="dxa"/>
            <w:vMerge w:val="continue"/>
            <w:tcBorders>
              <w:top w:val="single" w:color="000000" w:sz="12" w:space="0"/>
              <w:left w:val="nil"/>
              <w:bottom w:val="single" w:color="000000" w:sz="4" w:space="0"/>
              <w:right w:val="nil"/>
            </w:tcBorders>
            <w:noWrap w:val="0"/>
            <w:vAlign w:val="center"/>
          </w:tcPr>
          <w:p>
            <w:pPr>
              <w:widowControl/>
              <w:jc w:val="left"/>
              <w:rPr>
                <w:rFonts w:hint="default" w:ascii="Times New Roman" w:hAnsi="Times New Roman" w:eastAsia="仿宋_GB2312" w:cs="Times New Roman"/>
                <w:b/>
                <w:bCs/>
                <w:color w:val="000000"/>
                <w:kern w:val="0"/>
                <w:sz w:val="24"/>
                <w:lang w:bidi="ug-CN"/>
              </w:rPr>
            </w:pPr>
          </w:p>
        </w:tc>
        <w:tc>
          <w:tcPr>
            <w:tcW w:w="3264" w:type="dxa"/>
            <w:vMerge w:val="continue"/>
            <w:tcBorders>
              <w:top w:val="single" w:color="000000" w:sz="12" w:space="0"/>
              <w:left w:val="nil"/>
              <w:bottom w:val="single" w:color="000000" w:sz="4" w:space="0"/>
              <w:right w:val="nil"/>
            </w:tcBorders>
            <w:noWrap w:val="0"/>
            <w:vAlign w:val="center"/>
          </w:tcPr>
          <w:p>
            <w:pPr>
              <w:widowControl/>
              <w:jc w:val="left"/>
              <w:rPr>
                <w:rFonts w:hint="default" w:ascii="Times New Roman" w:hAnsi="Times New Roman" w:eastAsia="仿宋_GB2312" w:cs="Times New Roman"/>
                <w:b/>
                <w:bCs/>
                <w:color w:val="000000"/>
                <w:kern w:val="0"/>
                <w:sz w:val="24"/>
                <w:lang w:bidi="ug-CN"/>
              </w:rPr>
            </w:pPr>
          </w:p>
        </w:tc>
        <w:tc>
          <w:tcPr>
            <w:tcW w:w="948" w:type="dxa"/>
            <w:vMerge w:val="continue"/>
            <w:tcBorders>
              <w:top w:val="single" w:color="000000" w:sz="12" w:space="0"/>
              <w:left w:val="nil"/>
              <w:bottom w:val="single" w:color="000000" w:sz="4" w:space="0"/>
              <w:right w:val="nil"/>
            </w:tcBorders>
            <w:noWrap w:val="0"/>
            <w:vAlign w:val="center"/>
          </w:tcPr>
          <w:p>
            <w:pPr>
              <w:widowControl/>
              <w:jc w:val="left"/>
              <w:rPr>
                <w:rFonts w:hint="default" w:ascii="Times New Roman" w:hAnsi="Times New Roman" w:eastAsia="仿宋_GB2312" w:cs="Times New Roman"/>
                <w:b/>
                <w:bCs/>
                <w:color w:val="000000"/>
                <w:kern w:val="0"/>
                <w:sz w:val="24"/>
                <w:lang w:bidi="ug-CN"/>
              </w:rPr>
            </w:pPr>
          </w:p>
        </w:tc>
        <w:tc>
          <w:tcPr>
            <w:tcW w:w="1313" w:type="dxa"/>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传播控制</w:t>
            </w:r>
          </w:p>
        </w:tc>
        <w:tc>
          <w:tcPr>
            <w:tcW w:w="1311" w:type="dxa"/>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传播控制</w:t>
            </w:r>
          </w:p>
        </w:tc>
        <w:tc>
          <w:tcPr>
            <w:tcW w:w="1282" w:type="dxa"/>
            <w:tcBorders>
              <w:top w:val="single" w:color="000000" w:sz="12" w:space="0"/>
              <w:left w:val="nil"/>
              <w:bottom w:val="single" w:color="000000" w:sz="4" w:space="0"/>
              <w:right w:val="nil"/>
            </w:tcBorders>
            <w:noWrap w:val="0"/>
            <w:vAlign w:val="center"/>
          </w:tcPr>
          <w:p>
            <w:pPr>
              <w:widowControl/>
              <w:autoSpaceDE w:val="0"/>
              <w:autoSpaceDN w:val="0"/>
              <w:jc w:val="center"/>
              <w:textAlignment w:val="center"/>
              <w:rPr>
                <w:rFonts w:hint="default" w:ascii="Times New Roman" w:hAnsi="Times New Roman" w:eastAsia="仿宋_GB2312" w:cs="Times New Roman"/>
                <w:b/>
                <w:bCs/>
                <w:color w:val="000000"/>
                <w:kern w:val="0"/>
                <w:sz w:val="24"/>
                <w:lang w:bidi="ug-CN"/>
              </w:rPr>
            </w:pPr>
            <w:r>
              <w:rPr>
                <w:rFonts w:hint="default" w:ascii="Times New Roman" w:hAnsi="Times New Roman" w:eastAsia="仿宋_GB2312" w:cs="Times New Roman"/>
                <w:b/>
                <w:bCs/>
                <w:color w:val="000000"/>
                <w:kern w:val="0"/>
                <w:sz w:val="24"/>
                <w:lang w:bidi="ug-CN"/>
              </w:rPr>
              <w:t>传播阻断</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伊犁州</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察布查尔县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18.81%</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巩留县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0.80%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霍城县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0.67%</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尼勒克县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0.13%</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伊宁县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0.10%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塔城地区</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和布克赛尔县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2.40%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托里县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2.40%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额敏县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1.48%</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27"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裕民县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1.40%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乌苏市</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0.70%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塔城市</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0.29%</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阿勒泰地区</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哈巴河县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3.46%</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布尔津县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2.25%</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27"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富蕴县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2.00%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福海县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1.07%</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吉木乃县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0.39%</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阿克苏地区</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库车县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0.30%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27"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温宿县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1.00%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喀什地区</w:t>
            </w:r>
          </w:p>
        </w:tc>
        <w:tc>
          <w:tcPr>
            <w:tcW w:w="3264" w:type="dxa"/>
            <w:tcBorders>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叶城县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0.30%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27"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塔什库尔干县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0.40%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和田地区</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民丰县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0.13%</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策勒县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0.27%</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r>
      <w:tr>
        <w:tblPrEx>
          <w:tblCellMar>
            <w:top w:w="0" w:type="dxa"/>
            <w:left w:w="108" w:type="dxa"/>
            <w:bottom w:w="0" w:type="dxa"/>
            <w:right w:w="108" w:type="dxa"/>
          </w:tblCellMar>
        </w:tblPrEx>
        <w:trPr>
          <w:gridAfter w:val="1"/>
          <w:wAfter w:w="29" w:type="dxa"/>
          <w:trHeight w:val="312" w:hRule="atLeast"/>
          <w:jc w:val="center"/>
        </w:trPr>
        <w:tc>
          <w:tcPr>
            <w:tcW w:w="1898" w:type="dxa"/>
            <w:tcBorders>
              <w:top w:val="nil"/>
              <w:left w:val="nil"/>
              <w:bottom w:val="nil"/>
              <w:right w:val="nil"/>
            </w:tcBorders>
            <w:noWrap w:val="0"/>
            <w:vAlign w:val="top"/>
          </w:tcPr>
          <w:p>
            <w:pPr>
              <w:widowControl/>
              <w:autoSpaceDE w:val="0"/>
              <w:autoSpaceDN w:val="0"/>
              <w:jc w:val="left"/>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博州</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博乐市</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1.85%</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restart"/>
            <w:tcBorders>
              <w:top w:val="nil"/>
              <w:left w:val="nil"/>
              <w:bottom w:val="nil"/>
              <w:right w:val="nil"/>
            </w:tcBorders>
            <w:noWrap w:val="0"/>
            <w:vAlign w:val="top"/>
          </w:tcPr>
          <w:p>
            <w:pPr>
              <w:widowControl/>
              <w:autoSpaceDE w:val="0"/>
              <w:autoSpaceDN w:val="0"/>
              <w:jc w:val="left"/>
              <w:textAlignment w:val="top"/>
              <w:rPr>
                <w:rFonts w:hint="default" w:ascii="Times New Roman" w:hAnsi="Times New Roman" w:eastAsia="仿宋_GB2312" w:cs="Times New Roman"/>
                <w:color w:val="000000"/>
                <w:kern w:val="0"/>
                <w:sz w:val="24"/>
                <w:lang w:bidi="ug-CN"/>
              </w:rPr>
            </w:pPr>
          </w:p>
          <w:p>
            <w:pPr>
              <w:widowControl/>
              <w:autoSpaceDE w:val="0"/>
              <w:autoSpaceDN w:val="0"/>
              <w:jc w:val="left"/>
              <w:textAlignment w:val="top"/>
              <w:rPr>
                <w:rFonts w:hint="default" w:ascii="Times New Roman" w:hAnsi="Times New Roman" w:eastAsia="仿宋_GB2312" w:cs="Times New Roman"/>
                <w:color w:val="000000"/>
                <w:kern w:val="0"/>
                <w:sz w:val="24"/>
                <w:lang w:bidi="ug-CN"/>
              </w:rPr>
            </w:pPr>
          </w:p>
          <w:p>
            <w:pPr>
              <w:widowControl/>
              <w:autoSpaceDE w:val="0"/>
              <w:autoSpaceDN w:val="0"/>
              <w:jc w:val="left"/>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昌吉州</w:t>
            </w: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木垒县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4.80%</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27"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呼图壁县</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2.13%</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阜康市</w:t>
            </w:r>
          </w:p>
        </w:tc>
        <w:tc>
          <w:tcPr>
            <w:tcW w:w="948" w:type="dxa"/>
            <w:tcBorders>
              <w:top w:val="nil"/>
              <w:left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2.00%</w:t>
            </w:r>
          </w:p>
        </w:tc>
        <w:tc>
          <w:tcPr>
            <w:tcW w:w="1313" w:type="dxa"/>
            <w:tcBorders>
              <w:top w:val="nil"/>
              <w:left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vMerge w:val="continue"/>
            <w:tcBorders>
              <w:top w:val="nil"/>
              <w:left w:val="nil"/>
              <w:bottom w:val="nil"/>
              <w:right w:val="nil"/>
            </w:tcBorders>
            <w:noWrap w:val="0"/>
            <w:vAlign w:val="center"/>
          </w:tcPr>
          <w:p>
            <w:pPr>
              <w:widowControl/>
              <w:jc w:val="left"/>
              <w:rPr>
                <w:rFonts w:hint="default" w:ascii="Times New Roman" w:hAnsi="Times New Roman" w:eastAsia="仿宋_GB2312" w:cs="Times New Roman"/>
                <w:color w:val="000000"/>
                <w:kern w:val="0"/>
                <w:sz w:val="24"/>
                <w:lang w:bidi="ug-CN"/>
              </w:rPr>
            </w:pPr>
          </w:p>
        </w:tc>
        <w:tc>
          <w:tcPr>
            <w:tcW w:w="3264" w:type="dxa"/>
            <w:tcBorders>
              <w:top w:val="nil"/>
              <w:left w:val="nil"/>
              <w:bottom w:val="nil"/>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昌吉市</w:t>
            </w:r>
          </w:p>
        </w:tc>
        <w:tc>
          <w:tcPr>
            <w:tcW w:w="948" w:type="dxa"/>
            <w:tcBorders>
              <w:top w:val="nil"/>
              <w:left w:val="nil"/>
              <w:bottom w:val="nil"/>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1.07%</w:t>
            </w:r>
          </w:p>
        </w:tc>
        <w:tc>
          <w:tcPr>
            <w:tcW w:w="1313"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nil"/>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r>
        <w:tblPrEx>
          <w:tblCellMar>
            <w:top w:w="0" w:type="dxa"/>
            <w:left w:w="108" w:type="dxa"/>
            <w:bottom w:w="0" w:type="dxa"/>
            <w:right w:w="108" w:type="dxa"/>
          </w:tblCellMar>
        </w:tblPrEx>
        <w:trPr>
          <w:gridAfter w:val="1"/>
          <w:wAfter w:w="29" w:type="dxa"/>
          <w:trHeight w:val="312" w:hRule="atLeast"/>
          <w:jc w:val="center"/>
        </w:trPr>
        <w:tc>
          <w:tcPr>
            <w:tcW w:w="1898" w:type="dxa"/>
            <w:tcBorders>
              <w:top w:val="nil"/>
              <w:left w:val="nil"/>
              <w:bottom w:val="single" w:color="auto" w:sz="12" w:space="0"/>
              <w:right w:val="nil"/>
            </w:tcBorders>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吐鲁番市</w:t>
            </w:r>
          </w:p>
        </w:tc>
        <w:tc>
          <w:tcPr>
            <w:tcW w:w="3264" w:type="dxa"/>
            <w:tcBorders>
              <w:top w:val="nil"/>
              <w:left w:val="nil"/>
              <w:bottom w:val="single" w:color="auto" w:sz="12" w:space="0"/>
              <w:right w:val="nil"/>
            </w:tcBorders>
            <w:noWrap/>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托克逊县</w:t>
            </w:r>
          </w:p>
        </w:tc>
        <w:tc>
          <w:tcPr>
            <w:tcW w:w="948" w:type="dxa"/>
            <w:tcBorders>
              <w:top w:val="nil"/>
              <w:left w:val="nil"/>
              <w:bottom w:val="single" w:color="auto" w:sz="12" w:space="0"/>
              <w:right w:val="nil"/>
            </w:tcBorders>
            <w:noWrap/>
            <w:vAlign w:val="center"/>
          </w:tcPr>
          <w:p>
            <w:pPr>
              <w:widowControl/>
              <w:autoSpaceDE w:val="0"/>
              <w:autoSpaceDN w:val="0"/>
              <w:jc w:val="right"/>
              <w:textAlignment w:val="center"/>
              <w:rPr>
                <w:rFonts w:hint="default" w:ascii="Times New Roman" w:hAnsi="Times New Roman" w:eastAsia="仿宋_GB2312" w:cs="Times New Roman"/>
                <w:color w:val="000000"/>
                <w:kern w:val="0"/>
                <w:sz w:val="22"/>
                <w:szCs w:val="22"/>
                <w:lang w:bidi="ug-CN"/>
              </w:rPr>
            </w:pPr>
            <w:r>
              <w:rPr>
                <w:rFonts w:hint="default" w:ascii="Times New Roman" w:hAnsi="Times New Roman" w:eastAsia="仿宋_GB2312" w:cs="Times New Roman"/>
                <w:color w:val="000000"/>
                <w:kern w:val="0"/>
                <w:sz w:val="22"/>
                <w:szCs w:val="22"/>
                <w:lang w:bidi="ug-CN"/>
              </w:rPr>
              <w:t>1.40%</w:t>
            </w:r>
          </w:p>
        </w:tc>
        <w:tc>
          <w:tcPr>
            <w:tcW w:w="1313" w:type="dxa"/>
            <w:tcBorders>
              <w:top w:val="nil"/>
              <w:left w:val="nil"/>
              <w:bottom w:val="single" w:color="auto" w:sz="12" w:space="0"/>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311" w:type="dxa"/>
            <w:tcBorders>
              <w:top w:val="nil"/>
              <w:left w:val="nil"/>
              <w:bottom w:val="single" w:color="auto" w:sz="12" w:space="0"/>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是</w:t>
            </w:r>
          </w:p>
        </w:tc>
        <w:tc>
          <w:tcPr>
            <w:tcW w:w="1282" w:type="dxa"/>
            <w:tcBorders>
              <w:top w:val="nil"/>
              <w:left w:val="nil"/>
              <w:bottom w:val="single" w:color="auto" w:sz="12" w:space="0"/>
              <w:right w:val="nil"/>
            </w:tcBorders>
            <w:noWrap w:val="0"/>
            <w:vAlign w:val="top"/>
          </w:tcPr>
          <w:p>
            <w:pPr>
              <w:widowControl/>
              <w:autoSpaceDE w:val="0"/>
              <w:autoSpaceDN w:val="0"/>
              <w:jc w:val="center"/>
              <w:textAlignment w:val="top"/>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否</w:t>
            </w:r>
          </w:p>
        </w:tc>
      </w:tr>
    </w:tbl>
    <w:p>
      <w:pPr>
        <w:ind w:firstLine="480" w:firstLineChars="200"/>
        <w:jc w:val="left"/>
        <w:rPr>
          <w:rFonts w:hint="default" w:ascii="Times New Roman" w:hAnsi="Times New Roman" w:eastAsia="黑体" w:cs="Times New Roman"/>
          <w:w w:val="90"/>
          <w:sz w:val="32"/>
          <w:szCs w:val="32"/>
        </w:rPr>
      </w:pPr>
      <w:r>
        <w:rPr>
          <w:rFonts w:hint="default" w:ascii="Times New Roman" w:hAnsi="Times New Roman" w:cs="Times New Roman"/>
          <w:sz w:val="24"/>
        </w:rPr>
        <w:t>注：1．基线感染率来自全国第三次寄生虫病调查数据；2．传播控制与阻断需达到连续3年感染率在1%以下和0.1%以下。</w:t>
      </w:r>
    </w:p>
    <w:p>
      <w:pPr>
        <w:rPr>
          <w:rFonts w:hint="default" w:ascii="Times New Roman" w:hAnsi="Times New Roman" w:cs="Times New Roman"/>
        </w:rPr>
      </w:pPr>
      <w:r>
        <w:rPr>
          <w:rFonts w:hint="default" w:ascii="Times New Roman" w:hAnsi="Times New Roman" w:cs="Times New Roman"/>
        </w:rPr>
        <w:br w:type="page"/>
      </w:r>
    </w:p>
    <w:p>
      <w:pPr>
        <w:jc w:val="left"/>
        <w:rPr>
          <w:rFonts w:hint="default" w:ascii="Times New Roman" w:hAnsi="Times New Roman" w:eastAsia="黑体" w:cs="Times New Roman"/>
          <w:w w:val="90"/>
          <w:sz w:val="32"/>
          <w:szCs w:val="32"/>
        </w:rPr>
      </w:pPr>
      <w:r>
        <w:rPr>
          <w:rFonts w:hint="default" w:ascii="Times New Roman" w:hAnsi="Times New Roman" w:eastAsia="黑体" w:cs="Times New Roman"/>
          <w:w w:val="90"/>
          <w:sz w:val="32"/>
          <w:szCs w:val="32"/>
        </w:rPr>
        <w:t>附表 9</w:t>
      </w:r>
    </w:p>
    <w:p>
      <w:pPr>
        <w:spacing w:line="560" w:lineRule="exact"/>
        <w:jc w:val="center"/>
        <w:rPr>
          <w:rFonts w:hint="default" w:ascii="Times New Roman" w:hAnsi="Times New Roman" w:eastAsia="方正小标宋简体" w:cs="Times New Roman"/>
          <w:sz w:val="44"/>
          <w:szCs w:val="44"/>
          <w:lang w:eastAsia="zh-CN"/>
        </w:rPr>
      </w:pPr>
    </w:p>
    <w:p>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土源性线虫病和食源性寄生虫病防治主要工作指标清单</w:t>
      </w:r>
    </w:p>
    <w:p>
      <w:pPr>
        <w:spacing w:line="560" w:lineRule="exact"/>
        <w:jc w:val="center"/>
        <w:rPr>
          <w:rFonts w:hint="default" w:ascii="Times New Roman" w:hAnsi="Times New Roman" w:eastAsia="方正小标宋简体" w:cs="Times New Roman"/>
          <w:sz w:val="44"/>
          <w:szCs w:val="44"/>
        </w:rPr>
      </w:pPr>
    </w:p>
    <w:tbl>
      <w:tblPr>
        <w:tblStyle w:val="4"/>
        <w:tblW w:w="8860" w:type="dxa"/>
        <w:tblInd w:w="135" w:type="dxa"/>
        <w:tblLayout w:type="fixed"/>
        <w:tblCellMar>
          <w:top w:w="0" w:type="dxa"/>
          <w:left w:w="108" w:type="dxa"/>
          <w:bottom w:w="0" w:type="dxa"/>
          <w:right w:w="108" w:type="dxa"/>
        </w:tblCellMar>
      </w:tblPr>
      <w:tblGrid>
        <w:gridCol w:w="700"/>
        <w:gridCol w:w="1987"/>
        <w:gridCol w:w="2805"/>
        <w:gridCol w:w="1110"/>
        <w:gridCol w:w="1118"/>
        <w:gridCol w:w="1140"/>
      </w:tblGrid>
      <w:tr>
        <w:tblPrEx>
          <w:tblCellMar>
            <w:top w:w="0" w:type="dxa"/>
            <w:left w:w="108" w:type="dxa"/>
            <w:bottom w:w="0" w:type="dxa"/>
            <w:right w:w="108" w:type="dxa"/>
          </w:tblCellMar>
        </w:tblPrEx>
        <w:trPr>
          <w:trHeight w:val="427" w:hRule="atLeast"/>
        </w:trPr>
        <w:tc>
          <w:tcPr>
            <w:tcW w:w="700" w:type="dxa"/>
            <w:vMerge w:val="restart"/>
            <w:tcBorders>
              <w:top w:val="single" w:color="auto" w:sz="12" w:space="0"/>
            </w:tcBorders>
            <w:noWrap/>
            <w:vAlign w:val="center"/>
          </w:tcPr>
          <w:p>
            <w:pPr>
              <w:widowControl/>
              <w:autoSpaceDE w:val="0"/>
              <w:autoSpaceDN w:val="0"/>
              <w:jc w:val="center"/>
              <w:textAlignment w:val="center"/>
              <w:rPr>
                <w:rFonts w:hint="default" w:ascii="Times New Roman" w:hAnsi="Times New Roman" w:eastAsia="宋体" w:cs="Times New Roman"/>
                <w:b/>
                <w:bCs/>
                <w:color w:val="000000"/>
                <w:kern w:val="0"/>
                <w:sz w:val="22"/>
                <w:szCs w:val="22"/>
                <w:lang w:bidi="ug-CN"/>
              </w:rPr>
            </w:pPr>
            <w:r>
              <w:rPr>
                <w:rFonts w:hint="default" w:ascii="Times New Roman" w:hAnsi="Times New Roman" w:eastAsia="宋体" w:cs="Times New Roman"/>
                <w:b/>
                <w:bCs/>
                <w:color w:val="000000"/>
                <w:kern w:val="0"/>
                <w:sz w:val="22"/>
                <w:szCs w:val="22"/>
                <w:lang w:bidi="ug-CN"/>
              </w:rPr>
              <w:t>序号</w:t>
            </w:r>
          </w:p>
        </w:tc>
        <w:tc>
          <w:tcPr>
            <w:tcW w:w="1987" w:type="dxa"/>
            <w:vMerge w:val="restart"/>
            <w:tcBorders>
              <w:top w:val="single" w:color="auto" w:sz="12" w:space="0"/>
            </w:tcBorders>
            <w:noWrap/>
            <w:vAlign w:val="center"/>
          </w:tcPr>
          <w:p>
            <w:pPr>
              <w:widowControl/>
              <w:autoSpaceDE w:val="0"/>
              <w:autoSpaceDN w:val="0"/>
              <w:jc w:val="center"/>
              <w:textAlignment w:val="center"/>
              <w:rPr>
                <w:rFonts w:hint="default" w:ascii="Times New Roman" w:hAnsi="Times New Roman" w:eastAsia="宋体" w:cs="Times New Roman"/>
                <w:b/>
                <w:bCs/>
                <w:color w:val="000000"/>
                <w:kern w:val="0"/>
                <w:sz w:val="22"/>
                <w:szCs w:val="22"/>
                <w:lang w:bidi="ug-CN"/>
              </w:rPr>
            </w:pPr>
            <w:r>
              <w:rPr>
                <w:rFonts w:hint="default" w:ascii="Times New Roman" w:hAnsi="Times New Roman" w:eastAsia="宋体" w:cs="Times New Roman"/>
                <w:b/>
                <w:bCs/>
                <w:color w:val="000000"/>
                <w:kern w:val="0"/>
                <w:sz w:val="22"/>
                <w:szCs w:val="22"/>
                <w:lang w:bidi="ug-CN"/>
              </w:rPr>
              <w:t>指标</w:t>
            </w:r>
          </w:p>
        </w:tc>
        <w:tc>
          <w:tcPr>
            <w:tcW w:w="2805" w:type="dxa"/>
            <w:vMerge w:val="restart"/>
            <w:tcBorders>
              <w:top w:val="single" w:color="auto" w:sz="12" w:space="0"/>
            </w:tcBorders>
            <w:noWrap/>
            <w:vAlign w:val="center"/>
          </w:tcPr>
          <w:p>
            <w:pPr>
              <w:widowControl/>
              <w:autoSpaceDE w:val="0"/>
              <w:autoSpaceDN w:val="0"/>
              <w:jc w:val="center"/>
              <w:textAlignment w:val="center"/>
              <w:rPr>
                <w:rFonts w:hint="default" w:ascii="Times New Roman" w:hAnsi="Times New Roman" w:eastAsia="宋体" w:cs="Times New Roman"/>
                <w:b/>
                <w:bCs/>
                <w:color w:val="000000"/>
                <w:kern w:val="0"/>
                <w:sz w:val="22"/>
                <w:szCs w:val="22"/>
                <w:lang w:bidi="ug-CN"/>
              </w:rPr>
            </w:pPr>
            <w:r>
              <w:rPr>
                <w:rFonts w:hint="default" w:ascii="Times New Roman" w:hAnsi="Times New Roman" w:eastAsia="宋体" w:cs="Times New Roman"/>
                <w:b/>
                <w:bCs/>
                <w:color w:val="000000"/>
                <w:kern w:val="0"/>
                <w:sz w:val="22"/>
                <w:szCs w:val="22"/>
                <w:lang w:bidi="ug-CN"/>
              </w:rPr>
              <w:t>定义</w:t>
            </w:r>
          </w:p>
        </w:tc>
        <w:tc>
          <w:tcPr>
            <w:tcW w:w="3368" w:type="dxa"/>
            <w:gridSpan w:val="3"/>
            <w:tcBorders>
              <w:top w:val="single" w:color="auto" w:sz="12" w:space="0"/>
              <w:bottom w:val="single" w:color="auto" w:sz="8" w:space="0"/>
            </w:tcBorders>
            <w:noWrap/>
            <w:vAlign w:val="center"/>
          </w:tcPr>
          <w:p>
            <w:pPr>
              <w:widowControl/>
              <w:autoSpaceDE w:val="0"/>
              <w:autoSpaceDN w:val="0"/>
              <w:jc w:val="center"/>
              <w:textAlignment w:val="center"/>
              <w:rPr>
                <w:rFonts w:hint="default" w:ascii="Times New Roman" w:hAnsi="Times New Roman" w:eastAsia="宋体" w:cs="Times New Roman"/>
                <w:b/>
                <w:bCs/>
                <w:color w:val="000000"/>
                <w:kern w:val="0"/>
                <w:sz w:val="22"/>
                <w:szCs w:val="22"/>
                <w:lang w:bidi="ug-CN"/>
              </w:rPr>
            </w:pPr>
            <w:r>
              <w:rPr>
                <w:rFonts w:hint="default" w:ascii="Times New Roman" w:hAnsi="Times New Roman" w:eastAsia="宋体" w:cs="Times New Roman"/>
                <w:b/>
                <w:bCs/>
                <w:color w:val="000000"/>
                <w:kern w:val="0"/>
                <w:sz w:val="22"/>
                <w:szCs w:val="22"/>
                <w:lang w:bidi="ug-CN"/>
              </w:rPr>
              <w:t>目标要求</w:t>
            </w:r>
          </w:p>
        </w:tc>
      </w:tr>
      <w:tr>
        <w:tblPrEx>
          <w:tblCellMar>
            <w:top w:w="0" w:type="dxa"/>
            <w:left w:w="108" w:type="dxa"/>
            <w:bottom w:w="0" w:type="dxa"/>
            <w:right w:w="108" w:type="dxa"/>
          </w:tblCellMar>
        </w:tblPrEx>
        <w:trPr>
          <w:trHeight w:val="279" w:hRule="atLeast"/>
        </w:trPr>
        <w:tc>
          <w:tcPr>
            <w:tcW w:w="700" w:type="dxa"/>
            <w:vMerge w:val="continue"/>
            <w:tcBorders>
              <w:bottom w:val="single" w:color="auto" w:sz="12" w:space="0"/>
            </w:tcBorders>
            <w:noWrap w:val="0"/>
            <w:vAlign w:val="center"/>
          </w:tcPr>
          <w:p>
            <w:pPr>
              <w:widowControl/>
              <w:jc w:val="left"/>
              <w:rPr>
                <w:rFonts w:hint="default" w:ascii="Times New Roman" w:hAnsi="Times New Roman" w:eastAsia="宋体" w:cs="Times New Roman"/>
                <w:b/>
                <w:bCs/>
                <w:color w:val="000000"/>
                <w:kern w:val="0"/>
                <w:sz w:val="22"/>
                <w:szCs w:val="22"/>
                <w:lang w:bidi="ug-CN"/>
              </w:rPr>
            </w:pPr>
          </w:p>
        </w:tc>
        <w:tc>
          <w:tcPr>
            <w:tcW w:w="1987" w:type="dxa"/>
            <w:vMerge w:val="continue"/>
            <w:tcBorders>
              <w:bottom w:val="single" w:color="auto" w:sz="12" w:space="0"/>
            </w:tcBorders>
            <w:noWrap w:val="0"/>
            <w:vAlign w:val="center"/>
          </w:tcPr>
          <w:p>
            <w:pPr>
              <w:widowControl/>
              <w:jc w:val="left"/>
              <w:rPr>
                <w:rFonts w:hint="default" w:ascii="Times New Roman" w:hAnsi="Times New Roman" w:eastAsia="宋体" w:cs="Times New Roman"/>
                <w:b/>
                <w:bCs/>
                <w:color w:val="000000"/>
                <w:kern w:val="0"/>
                <w:sz w:val="22"/>
                <w:szCs w:val="22"/>
                <w:lang w:bidi="ug-CN"/>
              </w:rPr>
            </w:pPr>
          </w:p>
        </w:tc>
        <w:tc>
          <w:tcPr>
            <w:tcW w:w="2805" w:type="dxa"/>
            <w:vMerge w:val="continue"/>
            <w:tcBorders>
              <w:bottom w:val="single" w:color="auto" w:sz="12" w:space="0"/>
            </w:tcBorders>
            <w:noWrap w:val="0"/>
            <w:vAlign w:val="center"/>
          </w:tcPr>
          <w:p>
            <w:pPr>
              <w:widowControl/>
              <w:jc w:val="left"/>
              <w:rPr>
                <w:rFonts w:hint="default" w:ascii="Times New Roman" w:hAnsi="Times New Roman" w:eastAsia="宋体" w:cs="Times New Roman"/>
                <w:b/>
                <w:bCs/>
                <w:color w:val="000000"/>
                <w:kern w:val="0"/>
                <w:sz w:val="22"/>
                <w:szCs w:val="22"/>
                <w:lang w:bidi="ug-CN"/>
              </w:rPr>
            </w:pPr>
          </w:p>
        </w:tc>
        <w:tc>
          <w:tcPr>
            <w:tcW w:w="1110" w:type="dxa"/>
            <w:tcBorders>
              <w:top w:val="single" w:color="auto" w:sz="8" w:space="0"/>
              <w:bottom w:val="single" w:color="auto" w:sz="12" w:space="0"/>
            </w:tcBorders>
            <w:noWrap/>
            <w:vAlign w:val="center"/>
          </w:tcPr>
          <w:p>
            <w:pPr>
              <w:widowControl/>
              <w:autoSpaceDE w:val="0"/>
              <w:autoSpaceDN w:val="0"/>
              <w:jc w:val="left"/>
              <w:textAlignment w:val="center"/>
              <w:rPr>
                <w:rFonts w:hint="default" w:ascii="Times New Roman" w:hAnsi="Times New Roman" w:eastAsia="宋体" w:cs="Times New Roman"/>
                <w:color w:val="000000"/>
                <w:kern w:val="0"/>
                <w:sz w:val="22"/>
                <w:szCs w:val="22"/>
                <w:lang w:bidi="ug-CN"/>
              </w:rPr>
            </w:pPr>
            <w:r>
              <w:rPr>
                <w:rFonts w:hint="default" w:ascii="Times New Roman" w:hAnsi="Times New Roman" w:eastAsia="宋体" w:cs="Times New Roman"/>
                <w:color w:val="000000"/>
                <w:kern w:val="0"/>
                <w:sz w:val="22"/>
                <w:szCs w:val="22"/>
                <w:lang w:bidi="ug-CN"/>
              </w:rPr>
              <w:t>2025</w:t>
            </w:r>
            <w:r>
              <w:rPr>
                <w:rFonts w:hint="default" w:ascii="Times New Roman" w:hAnsi="Times New Roman" w:eastAsia="宋体" w:cs="Times New Roman"/>
                <w:color w:val="000000"/>
                <w:kern w:val="0"/>
                <w:sz w:val="24"/>
                <w:lang w:bidi="ug-CN"/>
              </w:rPr>
              <w:t>年</w:t>
            </w:r>
          </w:p>
        </w:tc>
        <w:tc>
          <w:tcPr>
            <w:tcW w:w="1118" w:type="dxa"/>
            <w:tcBorders>
              <w:top w:val="single" w:color="auto" w:sz="8" w:space="0"/>
              <w:bottom w:val="single" w:color="auto" w:sz="12" w:space="0"/>
            </w:tcBorders>
            <w:noWrap/>
            <w:vAlign w:val="center"/>
          </w:tcPr>
          <w:p>
            <w:pPr>
              <w:widowControl/>
              <w:autoSpaceDE w:val="0"/>
              <w:autoSpaceDN w:val="0"/>
              <w:jc w:val="left"/>
              <w:textAlignment w:val="center"/>
              <w:rPr>
                <w:rFonts w:hint="default" w:ascii="Times New Roman" w:hAnsi="Times New Roman" w:eastAsia="宋体" w:cs="Times New Roman"/>
                <w:color w:val="000000"/>
                <w:kern w:val="0"/>
                <w:sz w:val="22"/>
                <w:szCs w:val="22"/>
                <w:lang w:bidi="ug-CN"/>
              </w:rPr>
            </w:pPr>
            <w:r>
              <w:rPr>
                <w:rFonts w:hint="default" w:ascii="Times New Roman" w:hAnsi="Times New Roman" w:eastAsia="宋体" w:cs="Times New Roman"/>
                <w:color w:val="000000"/>
                <w:kern w:val="0"/>
                <w:sz w:val="22"/>
                <w:szCs w:val="22"/>
                <w:lang w:bidi="ug-CN"/>
              </w:rPr>
              <w:t>202</w:t>
            </w:r>
            <w:r>
              <w:rPr>
                <w:rFonts w:hint="default" w:ascii="Times New Roman" w:hAnsi="Times New Roman" w:eastAsia="宋体" w:cs="Times New Roman"/>
                <w:color w:val="000000"/>
                <w:kern w:val="0"/>
                <w:sz w:val="22"/>
                <w:szCs w:val="22"/>
                <w:lang w:val="en-US" w:eastAsia="zh-CN" w:bidi="ug-CN"/>
              </w:rPr>
              <w:t>7</w:t>
            </w:r>
            <w:r>
              <w:rPr>
                <w:rFonts w:hint="default" w:ascii="Times New Roman" w:hAnsi="Times New Roman" w:eastAsia="宋体" w:cs="Times New Roman"/>
                <w:color w:val="000000"/>
                <w:kern w:val="0"/>
                <w:sz w:val="22"/>
                <w:szCs w:val="22"/>
                <w:lang w:bidi="ug-CN"/>
              </w:rPr>
              <w:t>年</w:t>
            </w:r>
          </w:p>
        </w:tc>
        <w:tc>
          <w:tcPr>
            <w:tcW w:w="1140" w:type="dxa"/>
            <w:tcBorders>
              <w:top w:val="single" w:color="auto" w:sz="8" w:space="0"/>
              <w:bottom w:val="single" w:color="auto" w:sz="12" w:space="0"/>
            </w:tcBorders>
            <w:noWrap/>
            <w:vAlign w:val="center"/>
          </w:tcPr>
          <w:p>
            <w:pPr>
              <w:widowControl/>
              <w:autoSpaceDE w:val="0"/>
              <w:autoSpaceDN w:val="0"/>
              <w:jc w:val="left"/>
              <w:textAlignment w:val="center"/>
              <w:rPr>
                <w:rFonts w:hint="default" w:ascii="Times New Roman" w:hAnsi="Times New Roman" w:eastAsia="宋体" w:cs="Times New Roman"/>
                <w:color w:val="000000"/>
                <w:kern w:val="0"/>
                <w:sz w:val="22"/>
                <w:szCs w:val="22"/>
                <w:lang w:bidi="ug-CN"/>
              </w:rPr>
            </w:pPr>
            <w:r>
              <w:rPr>
                <w:rFonts w:hint="default" w:ascii="Times New Roman" w:hAnsi="Times New Roman" w:eastAsia="宋体" w:cs="Times New Roman"/>
                <w:color w:val="000000"/>
                <w:kern w:val="0"/>
                <w:sz w:val="22"/>
                <w:szCs w:val="22"/>
                <w:lang w:bidi="ug-CN"/>
              </w:rPr>
              <w:t>2030年</w:t>
            </w:r>
          </w:p>
        </w:tc>
      </w:tr>
      <w:tr>
        <w:tblPrEx>
          <w:tblCellMar>
            <w:top w:w="0" w:type="dxa"/>
            <w:left w:w="108" w:type="dxa"/>
            <w:bottom w:w="0" w:type="dxa"/>
            <w:right w:w="108" w:type="dxa"/>
          </w:tblCellMar>
        </w:tblPrEx>
        <w:trPr>
          <w:trHeight w:val="327" w:hRule="atLeast"/>
        </w:trPr>
        <w:tc>
          <w:tcPr>
            <w:tcW w:w="700" w:type="dxa"/>
            <w:vMerge w:val="restart"/>
            <w:tcBorders>
              <w:top w:val="single" w:color="auto" w:sz="12" w:space="0"/>
            </w:tcBorders>
            <w:shd w:val="clear" w:color="auto" w:fill="FFFFFF"/>
            <w:noWrap w:val="0"/>
            <w:vAlign w:val="center"/>
          </w:tcPr>
          <w:p>
            <w:pPr>
              <w:widowControl/>
              <w:autoSpaceDE w:val="0"/>
              <w:autoSpaceDN w:val="0"/>
              <w:jc w:val="center"/>
              <w:textAlignment w:val="center"/>
              <w:rPr>
                <w:rFonts w:hint="default" w:ascii="Times New Roman" w:hAnsi="Times New Roman" w:eastAsia="宋体" w:cs="Times New Roman"/>
                <w:color w:val="000000"/>
                <w:kern w:val="0"/>
                <w:sz w:val="24"/>
                <w:lang w:bidi="ug-CN"/>
              </w:rPr>
            </w:pPr>
            <w:r>
              <w:rPr>
                <w:rFonts w:hint="default" w:ascii="Times New Roman" w:hAnsi="Times New Roman" w:eastAsia="宋体" w:cs="Times New Roman"/>
                <w:color w:val="000000"/>
                <w:kern w:val="0"/>
                <w:sz w:val="24"/>
                <w:lang w:bidi="ug-CN"/>
              </w:rPr>
              <w:t>1</w:t>
            </w:r>
          </w:p>
        </w:tc>
        <w:tc>
          <w:tcPr>
            <w:tcW w:w="1987" w:type="dxa"/>
            <w:tcBorders>
              <w:top w:val="single" w:color="auto" w:sz="12" w:space="0"/>
            </w:tcBorders>
            <w:shd w:val="clear" w:color="auto" w:fill="FFFFFF"/>
            <w:noWrap w:val="0"/>
            <w:vAlign w:val="center"/>
          </w:tcPr>
          <w:p>
            <w:pPr>
              <w:widowControl/>
              <w:autoSpaceDE w:val="0"/>
              <w:autoSpaceDN w:val="0"/>
              <w:jc w:val="center"/>
              <w:textAlignment w:val="center"/>
              <w:rPr>
                <w:rFonts w:hint="default" w:ascii="Times New Roman" w:hAnsi="Times New Roman" w:eastAsia="仿宋_GB2312" w:cs="Times New Roman"/>
                <w:color w:val="000000"/>
                <w:kern w:val="0"/>
                <w:sz w:val="24"/>
                <w:lang w:bidi="ug-CN"/>
              </w:rPr>
            </w:pPr>
          </w:p>
        </w:tc>
        <w:tc>
          <w:tcPr>
            <w:tcW w:w="2805" w:type="dxa"/>
            <w:tcBorders>
              <w:top w:val="single" w:color="auto" w:sz="12" w:space="0"/>
            </w:tcBorders>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防治知识正确率60%及</w:t>
            </w:r>
          </w:p>
        </w:tc>
        <w:tc>
          <w:tcPr>
            <w:tcW w:w="1110" w:type="dxa"/>
            <w:vMerge w:val="restart"/>
            <w:tcBorders>
              <w:top w:val="single" w:color="auto" w:sz="12" w:space="0"/>
            </w:tcBorders>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≥80%</w:t>
            </w:r>
          </w:p>
        </w:tc>
        <w:tc>
          <w:tcPr>
            <w:tcW w:w="1118" w:type="dxa"/>
            <w:vMerge w:val="restart"/>
            <w:tcBorders>
              <w:top w:val="single" w:color="auto" w:sz="12" w:space="0"/>
            </w:tcBorders>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≥85%</w:t>
            </w:r>
          </w:p>
        </w:tc>
        <w:tc>
          <w:tcPr>
            <w:tcW w:w="1140" w:type="dxa"/>
            <w:vMerge w:val="restart"/>
            <w:tcBorders>
              <w:top w:val="single" w:color="auto" w:sz="12" w:space="0"/>
            </w:tcBorders>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≥90%</w:t>
            </w:r>
          </w:p>
        </w:tc>
      </w:tr>
      <w:tr>
        <w:tblPrEx>
          <w:tblCellMar>
            <w:top w:w="0" w:type="dxa"/>
            <w:left w:w="108" w:type="dxa"/>
            <w:bottom w:w="0" w:type="dxa"/>
            <w:right w:w="108" w:type="dxa"/>
          </w:tblCellMar>
        </w:tblPrEx>
        <w:trPr>
          <w:trHeight w:val="260"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center"/>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土源性线虫病</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以上即为知晓，知晓防</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27"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center"/>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知识知晓率</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治知识的人数占受调查</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auto"/>
            <w:noWrap/>
            <w:vAlign w:val="center"/>
          </w:tcPr>
          <w:p>
            <w:pPr>
              <w:autoSpaceDE w:val="0"/>
              <w:autoSpaceDN w:val="0"/>
              <w:jc w:val="left"/>
              <w:rPr>
                <w:rFonts w:hint="default" w:ascii="Times New Roman" w:hAnsi="Times New Roman" w:eastAsia="宋体" w:cs="Times New Roman"/>
                <w:color w:val="000000"/>
                <w:kern w:val="0"/>
                <w:sz w:val="22"/>
                <w:szCs w:val="22"/>
                <w:lang w:bidi="ug-CN"/>
              </w:rPr>
            </w:pP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的人数的百分比</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restart"/>
            <w:shd w:val="clear" w:color="auto" w:fill="FFFFFF"/>
            <w:noWrap w:val="0"/>
            <w:vAlign w:val="center"/>
          </w:tcPr>
          <w:p>
            <w:pPr>
              <w:widowControl/>
              <w:autoSpaceDE w:val="0"/>
              <w:autoSpaceDN w:val="0"/>
              <w:jc w:val="center"/>
              <w:textAlignment w:val="center"/>
              <w:rPr>
                <w:rFonts w:hint="default" w:ascii="Times New Roman" w:hAnsi="Times New Roman" w:eastAsia="宋体" w:cs="Times New Roman"/>
                <w:color w:val="000000"/>
                <w:kern w:val="0"/>
                <w:sz w:val="24"/>
                <w:lang w:bidi="ug-CN"/>
              </w:rPr>
            </w:pPr>
            <w:r>
              <w:rPr>
                <w:rFonts w:hint="default" w:ascii="Times New Roman" w:hAnsi="Times New Roman" w:eastAsia="宋体" w:cs="Times New Roman"/>
                <w:color w:val="000000"/>
                <w:kern w:val="0"/>
                <w:sz w:val="24"/>
                <w:lang w:bidi="ug-CN"/>
              </w:rPr>
              <w:t>2</w:t>
            </w: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防治知识正确率60%及</w:t>
            </w:r>
          </w:p>
        </w:tc>
        <w:tc>
          <w:tcPr>
            <w:tcW w:w="111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≥80%</w:t>
            </w:r>
          </w:p>
        </w:tc>
        <w:tc>
          <w:tcPr>
            <w:tcW w:w="1118"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≥85%</w:t>
            </w:r>
          </w:p>
        </w:tc>
        <w:tc>
          <w:tcPr>
            <w:tcW w:w="114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≥90%</w:t>
            </w: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食源性寄生虫病</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以上即为知晓，知晓防</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知识知晓率</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治知识的人数占受调查</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auto"/>
            <w:noWrap/>
            <w:vAlign w:val="center"/>
          </w:tcPr>
          <w:p>
            <w:pPr>
              <w:autoSpaceDE w:val="0"/>
              <w:autoSpaceDN w:val="0"/>
              <w:jc w:val="left"/>
              <w:rPr>
                <w:rFonts w:hint="default" w:ascii="Times New Roman" w:hAnsi="Times New Roman" w:eastAsia="宋体" w:cs="Times New Roman"/>
                <w:color w:val="000000"/>
                <w:kern w:val="0"/>
                <w:sz w:val="22"/>
                <w:szCs w:val="22"/>
                <w:lang w:bidi="ug-CN"/>
              </w:rPr>
            </w:pP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的人数的百分比</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restart"/>
            <w:shd w:val="clear" w:color="auto" w:fill="FFFFFF"/>
            <w:noWrap w:val="0"/>
            <w:vAlign w:val="center"/>
          </w:tcPr>
          <w:p>
            <w:pPr>
              <w:widowControl/>
              <w:autoSpaceDE w:val="0"/>
              <w:autoSpaceDN w:val="0"/>
              <w:jc w:val="center"/>
              <w:textAlignment w:val="center"/>
              <w:rPr>
                <w:rFonts w:hint="default" w:ascii="Times New Roman" w:hAnsi="Times New Roman" w:eastAsia="宋体" w:cs="Times New Roman"/>
                <w:color w:val="000000"/>
                <w:kern w:val="0"/>
                <w:sz w:val="24"/>
                <w:lang w:bidi="ug-CN"/>
              </w:rPr>
            </w:pPr>
            <w:r>
              <w:rPr>
                <w:rFonts w:hint="default" w:ascii="Times New Roman" w:hAnsi="Times New Roman" w:eastAsia="宋体" w:cs="Times New Roman"/>
                <w:color w:val="000000"/>
                <w:kern w:val="0"/>
                <w:sz w:val="24"/>
                <w:lang w:bidi="ug-CN"/>
              </w:rPr>
              <w:t>3</w:t>
            </w:r>
          </w:p>
        </w:tc>
        <w:tc>
          <w:tcPr>
            <w:tcW w:w="1987"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监测县覆盖率</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各省（区、市）每年开</w:t>
            </w:r>
          </w:p>
        </w:tc>
        <w:tc>
          <w:tcPr>
            <w:tcW w:w="111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≥10%</w:t>
            </w:r>
          </w:p>
        </w:tc>
        <w:tc>
          <w:tcPr>
            <w:tcW w:w="1118"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≥10%</w:t>
            </w:r>
          </w:p>
        </w:tc>
        <w:tc>
          <w:tcPr>
            <w:tcW w:w="114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≥10%</w:t>
            </w: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vMerge w:val="continue"/>
            <w:shd w:val="clear" w:color="auto" w:fill="auto"/>
            <w:noWrap w:val="0"/>
            <w:vAlign w:val="center"/>
          </w:tcPr>
          <w:p>
            <w:pPr>
              <w:widowControl/>
              <w:jc w:val="left"/>
              <w:rPr>
                <w:rFonts w:hint="default" w:ascii="Times New Roman" w:hAnsi="Times New Roman" w:eastAsia="仿宋_GB2312" w:cs="Times New Roman"/>
                <w:color w:val="000000"/>
                <w:kern w:val="0"/>
                <w:sz w:val="24"/>
                <w:lang w:bidi="ug-CN"/>
              </w:rPr>
            </w:pP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展的监测县数占总县数</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vMerge w:val="continue"/>
            <w:shd w:val="clear" w:color="auto" w:fill="auto"/>
            <w:noWrap w:val="0"/>
            <w:vAlign w:val="center"/>
          </w:tcPr>
          <w:p>
            <w:pPr>
              <w:widowControl/>
              <w:jc w:val="left"/>
              <w:rPr>
                <w:rFonts w:hint="default" w:ascii="Times New Roman" w:hAnsi="Times New Roman" w:eastAsia="仿宋_GB2312" w:cs="Times New Roman"/>
                <w:color w:val="000000"/>
                <w:kern w:val="0"/>
                <w:sz w:val="24"/>
                <w:lang w:bidi="ug-CN"/>
              </w:rPr>
            </w:pP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的百分比</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12" w:hRule="atLeast"/>
        </w:trPr>
        <w:tc>
          <w:tcPr>
            <w:tcW w:w="700" w:type="dxa"/>
            <w:vMerge w:val="restart"/>
            <w:shd w:val="clear" w:color="auto" w:fill="FFFFFF"/>
            <w:noWrap w:val="0"/>
            <w:vAlign w:val="center"/>
          </w:tcPr>
          <w:p>
            <w:pPr>
              <w:widowControl/>
              <w:autoSpaceDE w:val="0"/>
              <w:autoSpaceDN w:val="0"/>
              <w:jc w:val="center"/>
              <w:textAlignment w:val="center"/>
              <w:rPr>
                <w:rFonts w:hint="default" w:ascii="Times New Roman" w:hAnsi="Times New Roman" w:eastAsia="宋体" w:cs="Times New Roman"/>
                <w:color w:val="000000"/>
                <w:kern w:val="0"/>
                <w:sz w:val="24"/>
                <w:lang w:bidi="ug-CN"/>
              </w:rPr>
            </w:pPr>
            <w:r>
              <w:rPr>
                <w:rFonts w:hint="default" w:ascii="Times New Roman" w:hAnsi="Times New Roman" w:eastAsia="宋体" w:cs="Times New Roman"/>
                <w:color w:val="000000"/>
                <w:kern w:val="0"/>
                <w:sz w:val="24"/>
                <w:lang w:bidi="ug-CN"/>
              </w:rPr>
              <w:t>4</w:t>
            </w: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检出感染者</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接受治疗的人数占检出</w:t>
            </w:r>
          </w:p>
        </w:tc>
        <w:tc>
          <w:tcPr>
            <w:tcW w:w="111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≥90%</w:t>
            </w:r>
          </w:p>
        </w:tc>
        <w:tc>
          <w:tcPr>
            <w:tcW w:w="1118"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≥90%</w:t>
            </w:r>
          </w:p>
        </w:tc>
        <w:tc>
          <w:tcPr>
            <w:tcW w:w="1140" w:type="dxa"/>
            <w:vMerge w:val="restart"/>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≥90%</w:t>
            </w:r>
          </w:p>
        </w:tc>
      </w:tr>
      <w:tr>
        <w:trPr>
          <w:trHeight w:val="312" w:hRule="atLeast"/>
        </w:trPr>
        <w:tc>
          <w:tcPr>
            <w:tcW w:w="700" w:type="dxa"/>
            <w:vMerge w:val="continue"/>
            <w:shd w:val="clear" w:color="auto" w:fill="auto"/>
            <w:noWrap w:val="0"/>
            <w:vAlign w:val="center"/>
          </w:tcPr>
          <w:p>
            <w:pPr>
              <w:widowControl/>
              <w:jc w:val="center"/>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治疗率</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感染者的百分比</w:t>
            </w:r>
          </w:p>
        </w:tc>
        <w:tc>
          <w:tcPr>
            <w:tcW w:w="111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18"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c>
          <w:tcPr>
            <w:tcW w:w="1140" w:type="dxa"/>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27" w:hRule="atLeast"/>
        </w:trPr>
        <w:tc>
          <w:tcPr>
            <w:tcW w:w="700" w:type="dxa"/>
            <w:vMerge w:val="restart"/>
            <w:shd w:val="clear" w:color="auto" w:fill="FFFFFF"/>
            <w:noWrap w:val="0"/>
            <w:vAlign w:val="center"/>
          </w:tcPr>
          <w:p>
            <w:pPr>
              <w:widowControl/>
              <w:autoSpaceDE w:val="0"/>
              <w:autoSpaceDN w:val="0"/>
              <w:jc w:val="center"/>
              <w:textAlignment w:val="center"/>
              <w:rPr>
                <w:rFonts w:hint="default" w:ascii="Times New Roman" w:hAnsi="Times New Roman" w:eastAsia="宋体" w:cs="Times New Roman"/>
                <w:color w:val="000000"/>
                <w:kern w:val="0"/>
                <w:sz w:val="24"/>
                <w:lang w:bidi="ug-CN"/>
              </w:rPr>
            </w:pPr>
            <w:r>
              <w:rPr>
                <w:rFonts w:hint="default" w:ascii="Times New Roman" w:hAnsi="Times New Roman" w:eastAsia="宋体" w:cs="Times New Roman"/>
                <w:color w:val="000000"/>
                <w:kern w:val="0"/>
                <w:sz w:val="24"/>
                <w:lang w:bidi="ug-CN"/>
              </w:rPr>
              <w:t>5</w:t>
            </w: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农村供水水质</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农村供水水质达标人口</w:t>
            </w:r>
          </w:p>
        </w:tc>
        <w:tc>
          <w:tcPr>
            <w:tcW w:w="3368" w:type="dxa"/>
            <w:gridSpan w:val="3"/>
            <w:vMerge w:val="restart"/>
            <w:shd w:val="clear" w:color="auto" w:fill="FFFFFF"/>
            <w:noWrap w:val="0"/>
            <w:vAlign w:val="center"/>
          </w:tcPr>
          <w:p>
            <w:pPr>
              <w:widowControl/>
              <w:autoSpaceDE w:val="0"/>
              <w:autoSpaceDN w:val="0"/>
              <w:jc w:val="center"/>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总体达到当地县城水平</w:t>
            </w:r>
          </w:p>
        </w:tc>
      </w:tr>
      <w:tr>
        <w:tblPrEx>
          <w:tblCellMar>
            <w:top w:w="0" w:type="dxa"/>
            <w:left w:w="108" w:type="dxa"/>
            <w:bottom w:w="0" w:type="dxa"/>
            <w:right w:w="108" w:type="dxa"/>
          </w:tblCellMar>
        </w:tblPrEx>
        <w:trPr>
          <w:trHeight w:val="327" w:hRule="atLeast"/>
        </w:trPr>
        <w:tc>
          <w:tcPr>
            <w:tcW w:w="700" w:type="dxa"/>
            <w:vMerge w:val="continue"/>
            <w:shd w:val="clear" w:color="auto" w:fill="auto"/>
            <w:noWrap w:val="0"/>
            <w:vAlign w:val="center"/>
          </w:tcPr>
          <w:p>
            <w:pPr>
              <w:widowControl/>
              <w:jc w:val="left"/>
              <w:rPr>
                <w:rFonts w:hint="default" w:ascii="Times New Roman" w:hAnsi="Times New Roman" w:eastAsia="宋体" w:cs="Times New Roman"/>
                <w:color w:val="000000"/>
                <w:kern w:val="0"/>
                <w:sz w:val="24"/>
                <w:lang w:bidi="ug-CN"/>
              </w:rPr>
            </w:pPr>
          </w:p>
        </w:tc>
        <w:tc>
          <w:tcPr>
            <w:tcW w:w="1987"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达标率</w:t>
            </w:r>
          </w:p>
        </w:tc>
        <w:tc>
          <w:tcPr>
            <w:tcW w:w="2805" w:type="dxa"/>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占农村供水总人口的百</w:t>
            </w:r>
          </w:p>
        </w:tc>
        <w:tc>
          <w:tcPr>
            <w:tcW w:w="3368" w:type="dxa"/>
            <w:gridSpan w:val="3"/>
            <w:vMerge w:val="continue"/>
            <w:noWrap w:val="0"/>
            <w:vAlign w:val="center"/>
          </w:tcPr>
          <w:p>
            <w:pPr>
              <w:widowControl/>
              <w:jc w:val="left"/>
              <w:rPr>
                <w:rFonts w:hint="default" w:ascii="Times New Roman" w:hAnsi="Times New Roman" w:eastAsia="仿宋_GB2312" w:cs="Times New Roman"/>
                <w:color w:val="000000"/>
                <w:kern w:val="0"/>
                <w:sz w:val="24"/>
                <w:lang w:bidi="ug-CN"/>
              </w:rPr>
            </w:pPr>
          </w:p>
        </w:tc>
      </w:tr>
      <w:tr>
        <w:tblPrEx>
          <w:tblCellMar>
            <w:top w:w="0" w:type="dxa"/>
            <w:left w:w="108" w:type="dxa"/>
            <w:bottom w:w="0" w:type="dxa"/>
            <w:right w:w="108" w:type="dxa"/>
          </w:tblCellMar>
        </w:tblPrEx>
        <w:trPr>
          <w:trHeight w:val="327" w:hRule="atLeast"/>
        </w:trPr>
        <w:tc>
          <w:tcPr>
            <w:tcW w:w="700" w:type="dxa"/>
            <w:vMerge w:val="continue"/>
            <w:tcBorders>
              <w:bottom w:val="single" w:color="auto" w:sz="12" w:space="0"/>
            </w:tcBorders>
            <w:shd w:val="clear" w:color="auto" w:fill="auto"/>
            <w:noWrap w:val="0"/>
            <w:vAlign w:val="center"/>
          </w:tcPr>
          <w:p>
            <w:pPr>
              <w:widowControl/>
              <w:jc w:val="left"/>
              <w:rPr>
                <w:rFonts w:hint="default" w:ascii="Times New Roman" w:hAnsi="Times New Roman" w:eastAsia="宋体" w:cs="Times New Roman"/>
                <w:color w:val="000000"/>
                <w:kern w:val="0"/>
                <w:sz w:val="24"/>
                <w:lang w:bidi="ug-CN"/>
              </w:rPr>
            </w:pPr>
          </w:p>
        </w:tc>
        <w:tc>
          <w:tcPr>
            <w:tcW w:w="1987" w:type="dxa"/>
            <w:tcBorders>
              <w:bottom w:val="single" w:color="auto" w:sz="12" w:space="0"/>
            </w:tcBorders>
            <w:shd w:val="clear" w:color="auto" w:fill="auto"/>
            <w:noWrap/>
            <w:vAlign w:val="center"/>
          </w:tcPr>
          <w:p>
            <w:pPr>
              <w:autoSpaceDE w:val="0"/>
              <w:autoSpaceDN w:val="0"/>
              <w:jc w:val="left"/>
              <w:rPr>
                <w:rFonts w:hint="default" w:ascii="Times New Roman" w:hAnsi="Times New Roman" w:eastAsia="宋体" w:cs="Times New Roman"/>
                <w:color w:val="000000"/>
                <w:kern w:val="0"/>
                <w:sz w:val="22"/>
                <w:szCs w:val="22"/>
                <w:lang w:bidi="ug-CN"/>
              </w:rPr>
            </w:pPr>
          </w:p>
        </w:tc>
        <w:tc>
          <w:tcPr>
            <w:tcW w:w="2805" w:type="dxa"/>
            <w:tcBorders>
              <w:bottom w:val="single" w:color="auto" w:sz="12" w:space="0"/>
            </w:tcBorders>
            <w:shd w:val="clear" w:color="auto" w:fill="FFFFFF"/>
            <w:noWrap w:val="0"/>
            <w:vAlign w:val="center"/>
          </w:tcPr>
          <w:p>
            <w:pPr>
              <w:widowControl/>
              <w:autoSpaceDE w:val="0"/>
              <w:autoSpaceDN w:val="0"/>
              <w:jc w:val="left"/>
              <w:textAlignment w:val="center"/>
              <w:rPr>
                <w:rFonts w:hint="default" w:ascii="Times New Roman" w:hAnsi="Times New Roman" w:eastAsia="仿宋_GB2312" w:cs="Times New Roman"/>
                <w:color w:val="000000"/>
                <w:kern w:val="0"/>
                <w:sz w:val="24"/>
                <w:lang w:bidi="ug-CN"/>
              </w:rPr>
            </w:pPr>
            <w:r>
              <w:rPr>
                <w:rFonts w:hint="default" w:ascii="Times New Roman" w:hAnsi="Times New Roman" w:eastAsia="仿宋_GB2312" w:cs="Times New Roman"/>
                <w:color w:val="000000"/>
                <w:kern w:val="0"/>
                <w:sz w:val="24"/>
                <w:lang w:bidi="ug-CN"/>
              </w:rPr>
              <w:t>分比</w:t>
            </w:r>
          </w:p>
        </w:tc>
        <w:tc>
          <w:tcPr>
            <w:tcW w:w="3368" w:type="dxa"/>
            <w:gridSpan w:val="3"/>
            <w:vMerge w:val="continue"/>
            <w:tcBorders>
              <w:bottom w:val="single" w:color="auto" w:sz="12" w:space="0"/>
            </w:tcBorders>
            <w:noWrap w:val="0"/>
            <w:vAlign w:val="center"/>
          </w:tcPr>
          <w:p>
            <w:pPr>
              <w:widowControl/>
              <w:jc w:val="left"/>
              <w:rPr>
                <w:rFonts w:hint="default" w:ascii="Times New Roman" w:hAnsi="Times New Roman" w:eastAsia="仿宋_GB2312" w:cs="Times New Roman"/>
                <w:color w:val="000000"/>
                <w:kern w:val="0"/>
                <w:sz w:val="24"/>
                <w:lang w:bidi="ug-CN"/>
              </w:rPr>
            </w:pP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ZjEwNDZjYTliYWQyZDY3NmMxMjMwN2VhZTU0YWYifQ=="/>
  </w:docVars>
  <w:rsids>
    <w:rsidRoot w:val="7C613B43"/>
    <w:rsid w:val="7C613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40"/>
      <w:szCs w:val="40"/>
      <w:lang w:val="en-US" w:eastAsia="en-US" w:bidi="ar-SA"/>
    </w:rPr>
  </w:style>
  <w:style w:type="paragraph" w:styleId="3">
    <w:name w:val="Normal (Web)"/>
    <w:basedOn w:val="1"/>
    <w:qFormat/>
    <w:uiPriority w:val="0"/>
    <w:rPr>
      <w:sz w:val="24"/>
    </w:rPr>
  </w:style>
  <w:style w:type="character" w:customStyle="1" w:styleId="6">
    <w:name w:val="16"/>
    <w:basedOn w:val="5"/>
    <w:qFormat/>
    <w:uiPriority w:val="0"/>
    <w:rPr>
      <w:rFonts w:hint="eastAsia" w:ascii="仿宋_GB2312" w:eastAsia="仿宋_GB2312"/>
      <w:color w:val="000000"/>
      <w:sz w:val="24"/>
      <w:szCs w:val="24"/>
    </w:rPr>
  </w:style>
  <w:style w:type="character" w:customStyle="1" w:styleId="7">
    <w:name w:val="15"/>
    <w:basedOn w:val="5"/>
    <w:qFormat/>
    <w:uiPriority w:val="0"/>
    <w:rPr>
      <w:rFonts w:hint="default" w:ascii="Times New Roman" w:hAnsi="Times New Roman" w:cs="Times New Roman"/>
      <w:color w:val="000000"/>
      <w:sz w:val="24"/>
      <w:szCs w:val="24"/>
    </w:rPr>
  </w:style>
  <w:style w:type="paragraph" w:customStyle="1" w:styleId="8">
    <w:name w:val="Table Paragraph"/>
    <w:basedOn w:val="1"/>
    <w:qFormat/>
    <w:uiPriority w:val="0"/>
    <w:pPr>
      <w:autoSpaceDE w:val="0"/>
      <w:autoSpaceDN w:val="0"/>
      <w:spacing w:before="37" w:after="100" w:afterAutospacing="1"/>
      <w:jc w:val="center"/>
    </w:pPr>
    <w:rPr>
      <w:rFonts w:ascii="仿宋_GB2312" w:hAnsi="宋体" w:eastAsia="仿宋_GB2312" w:cs="宋体"/>
      <w:kern w:val="0"/>
      <w:sz w:val="22"/>
      <w:szCs w:val="22"/>
      <w:lang w:bidi="ug-CN"/>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2026-03-16T08:50:00Z</dcterms:created>
  <dc:creator>buvajar</dc:creator>
  <cp:lastModifiedBy>buvajar</cp:lastModifiedBy>
  <dcterms:modified xsi:type="dcterms:W3CDTF">2026-03-16T08:51:18Z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1F46CD779DD9433F9732634C1BC06F9F_11</vt:lpwstr>
  </property>
</Properties>
</file>