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4804" w:type="dxa"/>
        <w:tblInd w:w="-100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0"/>
        <w:gridCol w:w="1515"/>
        <w:gridCol w:w="6240"/>
        <w:gridCol w:w="1791"/>
        <w:gridCol w:w="4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804" w:type="dxa"/>
            <w:gridSpan w:val="5"/>
            <w:tcBorders>
              <w:top w:val="nil"/>
              <w:left w:val="nil"/>
              <w:bottom w:val="nil"/>
              <w:right w:val="nil"/>
            </w:tcBorders>
            <w:noWrap/>
            <w:vAlign w:val="center"/>
          </w:tcPr>
          <w:p>
            <w:pPr>
              <w:keepNext w:val="0"/>
              <w:keepLines w:val="0"/>
              <w:widowControl/>
              <w:suppressLineNumbers w:val="0"/>
              <w:jc w:val="left"/>
              <w:textAlignment w:val="center"/>
              <w:rPr>
                <w:rFonts w:hint="default" w:ascii="Times New Roman" w:hAnsi="Times New Roman" w:eastAsia="国标黑体" w:cs="Times New Roman"/>
                <w:i w:val="0"/>
                <w:iCs w:val="0"/>
                <w:color w:val="000000"/>
                <w:sz w:val="28"/>
                <w:szCs w:val="28"/>
                <w:u w:val="none"/>
              </w:rPr>
            </w:pPr>
            <w:r>
              <w:rPr>
                <w:rFonts w:hint="default" w:ascii="Times New Roman" w:hAnsi="Times New Roman" w:eastAsia="国标黑体" w:cs="Times New Roman"/>
                <w:i w:val="0"/>
                <w:iCs w:val="0"/>
                <w:color w:val="000000"/>
                <w:kern w:val="0"/>
                <w:sz w:val="28"/>
                <w:szCs w:val="28"/>
                <w:u w:val="none"/>
                <w:lang w:val="en-US" w:eastAsia="zh-CN" w:bidi="ar"/>
              </w:rPr>
              <w:t>附件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4804" w:type="dxa"/>
            <w:gridSpan w:val="5"/>
            <w:tcBorders>
              <w:top w:val="nil"/>
              <w:left w:val="nil"/>
              <w:bottom w:val="nil"/>
              <w:right w:val="nil"/>
            </w:tcBorders>
            <w:noWrap/>
            <w:vAlign w:val="center"/>
          </w:tcPr>
          <w:p>
            <w:pPr>
              <w:keepNext w:val="0"/>
              <w:keepLines w:val="0"/>
              <w:widowControl/>
              <w:suppressLineNumbers w:val="0"/>
              <w:jc w:val="center"/>
              <w:textAlignment w:val="center"/>
              <w:rPr>
                <w:rFonts w:hint="default" w:ascii="Times New Roman" w:hAnsi="Times New Roman" w:eastAsia="国标黑体" w:cs="Times New Roman"/>
                <w:i w:val="0"/>
                <w:iCs w:val="0"/>
                <w:color w:val="000000"/>
                <w:sz w:val="36"/>
                <w:szCs w:val="36"/>
                <w:u w:val="none"/>
              </w:rPr>
            </w:pPr>
            <w:bookmarkStart w:id="0" w:name="_GoBack"/>
            <w:r>
              <w:rPr>
                <w:rFonts w:hint="default" w:ascii="Times New Roman" w:hAnsi="Times New Roman" w:eastAsia="国标黑体" w:cs="Times New Roman"/>
                <w:i w:val="0"/>
                <w:iCs w:val="0"/>
                <w:color w:val="000000"/>
                <w:kern w:val="0"/>
                <w:sz w:val="36"/>
                <w:szCs w:val="36"/>
                <w:u w:val="none"/>
                <w:lang w:val="en-US" w:eastAsia="zh-CN" w:bidi="ar"/>
              </w:rPr>
              <w:t>2026年自治区疾控领域青年科研项目拟立项名单</w:t>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国标黑体" w:cs="Times New Roman"/>
                <w:i w:val="0"/>
                <w:iCs w:val="0"/>
                <w:color w:val="000000"/>
                <w:sz w:val="24"/>
                <w:szCs w:val="24"/>
                <w:u w:val="none"/>
              </w:rPr>
            </w:pPr>
            <w:r>
              <w:rPr>
                <w:rFonts w:hint="default" w:ascii="Times New Roman" w:hAnsi="Times New Roman" w:eastAsia="国标黑体" w:cs="Times New Roman"/>
                <w:i w:val="0"/>
                <w:iCs w:val="0"/>
                <w:color w:val="000000"/>
                <w:kern w:val="0"/>
                <w:sz w:val="24"/>
                <w:szCs w:val="24"/>
                <w:u w:val="none"/>
                <w:lang w:val="en-US" w:eastAsia="zh-CN" w:bidi="ar"/>
              </w:rPr>
              <w:t>序号</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国标黑体" w:cs="Times New Roman"/>
                <w:i w:val="0"/>
                <w:iCs w:val="0"/>
                <w:color w:val="000000"/>
                <w:sz w:val="24"/>
                <w:szCs w:val="24"/>
                <w:u w:val="none"/>
              </w:rPr>
            </w:pPr>
            <w:r>
              <w:rPr>
                <w:rFonts w:hint="default" w:ascii="Times New Roman" w:hAnsi="Times New Roman" w:eastAsia="国标黑体" w:cs="Times New Roman"/>
                <w:i w:val="0"/>
                <w:iCs w:val="0"/>
                <w:color w:val="000000"/>
                <w:kern w:val="0"/>
                <w:sz w:val="24"/>
                <w:szCs w:val="24"/>
                <w:u w:val="none"/>
                <w:lang w:val="en-US" w:eastAsia="zh-CN" w:bidi="ar"/>
              </w:rPr>
              <w:t>项目编号</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国标黑体" w:cs="Times New Roman"/>
                <w:i w:val="0"/>
                <w:iCs w:val="0"/>
                <w:color w:val="000000"/>
                <w:sz w:val="24"/>
                <w:szCs w:val="24"/>
                <w:u w:val="none"/>
              </w:rPr>
            </w:pPr>
            <w:r>
              <w:rPr>
                <w:rFonts w:hint="default" w:ascii="Times New Roman" w:hAnsi="Times New Roman" w:eastAsia="国标黑体" w:cs="Times New Roman"/>
                <w:i w:val="0"/>
                <w:iCs w:val="0"/>
                <w:color w:val="000000"/>
                <w:kern w:val="0"/>
                <w:sz w:val="24"/>
                <w:szCs w:val="24"/>
                <w:u w:val="none"/>
                <w:lang w:val="en-US" w:eastAsia="zh-CN" w:bidi="ar"/>
              </w:rPr>
              <w:t>项目名称</w:t>
            </w:r>
          </w:p>
        </w:tc>
        <w:tc>
          <w:tcPr>
            <w:tcW w:w="17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国标黑体" w:cs="Times New Roman"/>
                <w:i w:val="0"/>
                <w:iCs w:val="0"/>
                <w:color w:val="000000"/>
                <w:sz w:val="24"/>
                <w:szCs w:val="24"/>
                <w:u w:val="none"/>
              </w:rPr>
            </w:pPr>
            <w:r>
              <w:rPr>
                <w:rFonts w:hint="default" w:ascii="Times New Roman" w:hAnsi="Times New Roman" w:eastAsia="国标黑体" w:cs="Times New Roman"/>
                <w:i w:val="0"/>
                <w:iCs w:val="0"/>
                <w:color w:val="000000"/>
                <w:kern w:val="0"/>
                <w:sz w:val="24"/>
                <w:szCs w:val="24"/>
                <w:u w:val="none"/>
                <w:lang w:val="en-US" w:eastAsia="zh-CN" w:bidi="ar"/>
              </w:rPr>
              <w:t>项目申请人</w:t>
            </w:r>
          </w:p>
        </w:tc>
        <w:tc>
          <w:tcPr>
            <w:tcW w:w="447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国标黑体" w:cs="Times New Roman"/>
                <w:i w:val="0"/>
                <w:iCs w:val="0"/>
                <w:color w:val="000000"/>
                <w:sz w:val="24"/>
                <w:szCs w:val="24"/>
                <w:u w:val="none"/>
              </w:rPr>
            </w:pPr>
            <w:r>
              <w:rPr>
                <w:rFonts w:hint="default" w:ascii="Times New Roman" w:hAnsi="Times New Roman" w:eastAsia="国标黑体" w:cs="Times New Roman"/>
                <w:i w:val="0"/>
                <w:iCs w:val="0"/>
                <w:color w:val="000000"/>
                <w:kern w:val="0"/>
                <w:sz w:val="24"/>
                <w:szCs w:val="24"/>
                <w:u w:val="none"/>
                <w:lang w:val="en-US" w:eastAsia="zh-CN" w:bidi="ar"/>
              </w:rPr>
              <w:t>项目申请单位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JKQ2026001</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热浪对乌鲁木齐市急救出诊量的影响及预警模型构建研究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张莹</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乌鲁木齐市疾病预防控制中心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JKQ2026002</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糖胺聚糖通路调控MAIT在儿童结核中的研究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邹蕙安</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自治区传染病医院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JKQ2026003</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融合多源数据的新疆腹泻症候群时空流行规律与预警预测研究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王琪</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JKQ2026004</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基于双源数据的疑似预防接种异常反应风险预测模型构建与验证</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贺永发</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乌鲁木齐市疾病预防控制中心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JKQ2026005</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基于三维打印技术的蚤类形态鉴别教学模型构建及在疾控系统中的应用示范研究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麦迪娜·肖开提</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6</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JKQ2026006</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女性艾滋病病毒感染者抗病毒治疗自我管理效能提升路径与干预研究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刘礼荣</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伊宁市疾病预防控制中心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JKQ2026007</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新疆外环境禽流感病毒风险预测与分级预警研究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尹哲</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JKQ2026008</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多情景气候模型下新疆重点呼吸道传染病未来传播风险预测及适应性防控策略的成本效益评估研究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2"/>
                <w:szCs w:val="22"/>
                <w:u w:val="none"/>
                <w:lang w:val="en-US" w:eastAsia="zh-CN" w:bidi="ar"/>
              </w:rPr>
              <w:t>穆克戴丝·艾合买江</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JKQ2026009</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基于靶向测序（tNGS）技术跨境输入性呼吸道病原体检测平台构建及应用</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黄佳</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JKQ2026010</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新疆结核病复发流行特征、影响因素及分子流行病学研究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王明哲</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JKQ2026011</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乌鲁木齐市HIV-1未治疗感染者整合酶抑制剂耐药监测及分子网络特征</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白雪</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乌鲁木齐市疾病预防控制中心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JKQ2026012</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基于监测医院病例数据的新疆地区食源性疾病时空特征分析及ARIMA-BPNN模型预测研究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田甜</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JKQ2026013</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结核潜伏感染者预防性治疗效果生物标志物动态评价及预测模型研究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祖丽呼玛尔·艾尔肯</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JKQ2026014</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阿克苏地区饮用水砷形态分布特征及风险研究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邢雪岩</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阿克苏地区疾病预防控制中心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JKQ2026015</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微柱凝胶法检测布鲁氏菌抗体在不同临床分期中的诊断效能评价</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任小丹</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哈密市疾病预防控制中心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JKQ2026016</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多源数据驱动的乌鲁木齐市麻疹病毒分子检测溯源及动态预警模型研究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马赫尔</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乌鲁木齐市疾病预防控制中心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JKQ2026017</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乌鲁木齐市耐多药结核分枝杆菌遗传进化特征分析</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杨建东</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乌鲁木齐市疾病预防控制中心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JKQ2026018</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多酶恒温快速扩增侧流层析检测技术在鼠疫监测中的应用研究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金鑫</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博州疾病预防控制中心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JKQ2026019</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基于跨理论模型的肺结核合并慢阻肺共病患者运动恐惧干预方案构建及初步验证</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李彦春</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自治区传染病医院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JKQ2026020</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耐药结核病患者血清差异代谢物诊断模型构建</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古丽比克·木拉提</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自治区传染病医院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JKQ2026021</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新疆塔城地区结核病流行特征与流行趋势预测研究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热依娜·麦德力汗</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塔城地区人民医院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JKQ2026022</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基于“一样本多检测”的阿克苏地区致泻性病毒病原特征研究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荣晓夙</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阿克苏地区疾病预防控制中心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JKQ2026023</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宿主“营养-免疫”双维度调控与布鲁氏菌感染结局：维生素D与细胞因子的交互作用及因果推断</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玛依沙·达肯</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克拉玛依市疾病预防控制中心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JKQ2026024</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南疆县域医共体肺结核共病负担及不良治疗结局风险预测模型构建</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林晶</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巴楚县人民医院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JKQ2026025</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克州阿图什市60岁以上老年人结核病潜伏感染现状及影响因素</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帕孜来提·艾尼瓦</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阿图什市疾控中心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JKQ2026026</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极端干旱地区生活饮用水中消毒副产物的暴露状况及健康风险评估--以吐鲁番市为例</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高燕蓉</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吐鲁番市疾病预防控制中心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JKQ2026027</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麻腮风补充免疫后流行性腮腺炎突破病例的病原学特征及诊断可靠性研究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宋红</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巴州疾病预防控制中心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JKQ2026028</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“家校生”三位一体联动干预对乌苏市小学生近视行为及视力的效果研究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彭微微</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乌苏市疾病预防控制中心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JKQ2026029</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克拉玛依市感染性腹泻的气象风险指数构建及其气象脆弱性评估研究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范玉玺</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克拉玛依市疾病预防控制中心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JKQ2026030</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克拉玛依市丙型肝炎区域微消除综合干预模式的构建与应用研究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巴燕</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克拉玛依市疾病预防控制中心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3"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JKQ2026031</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老年肺结核患者利福类药物及吡嗪酰胺血药浓度监测研究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喻婷</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克拉玛依市中心医院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JKQ2026032</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阿克苏地区碘含量分布及碘缺乏病精准防控方案</w:t>
            </w:r>
            <w:r>
              <w:rPr>
                <w:rFonts w:hint="default" w:ascii="Times New Roman" w:hAnsi="Times New Roman" w:eastAsia="仿宋_GB2312" w:cs="Times New Roman"/>
                <w:i w:val="0"/>
                <w:iCs w:val="0"/>
                <w:color w:val="000000"/>
                <w:kern w:val="0"/>
                <w:sz w:val="24"/>
                <w:szCs w:val="24"/>
                <w:u w:val="none"/>
                <w:lang w:val="en-US" w:eastAsia="zh-CN" w:bidi="ar"/>
              </w:rPr>
              <w:br w:type="textWrapping"/>
            </w:r>
            <w:r>
              <w:rPr>
                <w:rFonts w:hint="default" w:ascii="Times New Roman" w:hAnsi="Times New Roman" w:eastAsia="仿宋_GB2312" w:cs="Times New Roman"/>
                <w:i w:val="0"/>
                <w:iCs w:val="0"/>
                <w:color w:val="000000"/>
                <w:kern w:val="0"/>
                <w:sz w:val="24"/>
                <w:szCs w:val="24"/>
                <w:u w:val="none"/>
                <w:lang w:val="en-US" w:eastAsia="zh-CN" w:bidi="ar"/>
              </w:rPr>
              <w:t>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王小琴</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阿克苏地区疾病预防控制中心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JKQ2026033</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伊犁州肠道致病菌耐药谱及流行特征研究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陈娜菲</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伊犁州疾病预防控制中心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JKQ2026034</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蛋氨酸代谢通路MTR基因调控巨噬细胞抗结核免疫机制的研究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孙高峰</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自治区儿童医院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JKQ2026035</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基于高危家系儿童青少年精神障碍的预警与精准防控研究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胡颖</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乌鲁木齐市第四人民医院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JKQ2026036</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乌鲁木齐市儿童流感流行特征分析及住院经济负担研究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李雪</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乌鲁木齐市儿童医院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JKQ2026037</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现场流行病调查演练考核系统的开发应用</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高孙玉洁</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新疆军区保障部疾病预防控制中心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JKQ2026038</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基于冠脉CAT评价尘肺病PCAT的临床研究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邢惠</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自治区职业病医院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JKQ2026039</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儿童RSV/HRV共感染的免疫应答特征及其与临床结局的关联性研究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陈亚豪</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新疆医科大学第一附属医院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JKQ2026040</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中医医院前置软件应用评价及平急结合SOP构建</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赵磊</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新疆医科大学第四附属医院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JKQ2026041</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TM7SF2甲基化重塑胆固醇代谢调控ERK/MLCK/IIB轴在HPV持续感染中的机制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黄丹丹</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新疆医科大学第四附属医院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JKQ2026042</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基于MRI多模态成像的骨关节结核早期诊断及活动性评估研究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塔月</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新疆医科大学第六附属医院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w:t>
            </w:r>
          </w:p>
        </w:tc>
        <w:tc>
          <w:tcPr>
            <w:tcW w:w="15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JKQ2026043</w:t>
            </w:r>
          </w:p>
        </w:tc>
        <w:tc>
          <w:tcPr>
            <w:tcW w:w="62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重点职业人群布鲁氏菌病暴露风险评估与预警防控体系构建研究</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韩丹</w:t>
            </w:r>
          </w:p>
        </w:tc>
        <w:tc>
          <w:tcPr>
            <w:tcW w:w="44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新疆医科大学第一附属医院</w:t>
            </w:r>
          </w:p>
        </w:tc>
      </w:tr>
    </w:tbl>
    <w:p>
      <w:pPr>
        <w:keepNext w:val="0"/>
        <w:keepLines w:val="0"/>
        <w:pageBreakBefore w:val="0"/>
        <w:widowControl w:val="0"/>
        <w:kinsoku/>
        <w:wordWrap/>
        <w:overflowPunct/>
        <w:topLinePunct w:val="0"/>
        <w:autoSpaceDE/>
        <w:autoSpaceDN/>
        <w:bidi w:val="0"/>
        <w:adjustRightInd/>
        <w:snapToGrid/>
        <w:spacing w:line="520" w:lineRule="exact"/>
        <w:ind w:firstLine="5440" w:firstLineChars="1700"/>
        <w:jc w:val="center"/>
        <w:textAlignment w:val="auto"/>
        <w:rPr>
          <w:rFonts w:hint="default" w:ascii="Times New Roman" w:hAnsi="Times New Roman" w:cs="Times New Roman"/>
          <w:sz w:val="32"/>
          <w:szCs w:val="32"/>
          <w:lang w:val="en-US" w:eastAsia="zh-CN"/>
        </w:rPr>
      </w:pPr>
    </w:p>
    <w:p/>
    <w:sectPr>
      <w:footerReference r:id="rId5" w:type="default"/>
      <w:pgSz w:w="16838" w:h="11906" w:orient="landscape"/>
      <w:pgMar w:top="1587" w:right="2098" w:bottom="1587" w:left="1984"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0" w:leftChars="0" w:firstLine="0" w:firstLineChars="0"/>
    </w:pPr>
  </w:p>
  <w:p>
    <w:pPr>
      <w:pStyle w:val="2"/>
      <w:ind w:left="0" w:leftChars="0" w:firstLine="0" w:firstLineChars="0"/>
    </w:pPr>
  </w:p>
  <w:p>
    <w:pPr>
      <w:pStyle w:val="2"/>
      <w:ind w:left="0" w:lef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iZjEwNDZjYTliYWQyZDY3NmMxMjMwN2VhZTU0YWYifQ=="/>
  </w:docVars>
  <w:rsids>
    <w:rsidRoot w:val="1DD14FF8"/>
    <w:rsid w:val="1DD14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00" w:lineRule="auto"/>
      <w:ind w:firstLine="618"/>
      <w:jc w:val="both"/>
    </w:pPr>
    <w:rPr>
      <w:rFonts w:ascii="Times New Roman" w:hAnsi="Times New Roman" w:eastAsia="仿宋_GB2312" w:cs="Times New Roman"/>
      <w:kern w:val="2"/>
      <w:sz w:val="30"/>
      <w:szCs w:val="20"/>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2026-07-13T04:36:00Z</dcterms:created>
  <dc:creator>buvajar</dc:creator>
  <cp:lastModifiedBy>buvajar</cp:lastModifiedBy>
  <dcterms:modified xsi:type="dcterms:W3CDTF">2026-07-13T04:38:37Z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710D08DA2D814EDF9308901A78A46E20_11</vt:lpwstr>
  </property>
</Properties>
</file>